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10630" w14:textId="77777777" w:rsidR="00512988" w:rsidRDefault="000964C7" w:rsidP="00744349">
      <w:pPr>
        <w:ind w:left="1843"/>
        <w:rPr>
          <w:rFonts w:ascii="Times New Roman" w:eastAsia="MS Reference 2" w:hAnsi="Times New Roman"/>
          <w:noProof/>
        </w:rPr>
      </w:pPr>
      <w:r>
        <w:rPr>
          <w:rFonts w:ascii="Times New Roman" w:eastAsia="MS Reference 2" w:hAnsi="Times New Roman"/>
          <w:noProof/>
        </w:rPr>
        <w:t xml:space="preserve">                     </w:t>
      </w:r>
      <w:r>
        <w:rPr>
          <w:rFonts w:ascii="Times New Roman" w:eastAsia="MS Reference 2" w:hAnsi="Times New Roman"/>
          <w:noProof/>
        </w:rPr>
        <w:drawing>
          <wp:inline distT="0" distB="0" distL="0" distR="0" wp14:anchorId="7579A6C5" wp14:editId="56FFD591">
            <wp:extent cx="495300" cy="6667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1755F9" w14:textId="77777777" w:rsidR="00744349" w:rsidRDefault="00744349" w:rsidP="00744349">
      <w:pPr>
        <w:ind w:left="1843"/>
        <w:rPr>
          <w:rFonts w:ascii="Times New Roman" w:eastAsia="MS Reference 2" w:hAnsi="Times New Roman"/>
          <w:noProof/>
        </w:rPr>
      </w:pPr>
    </w:p>
    <w:p w14:paraId="274A1916" w14:textId="77777777" w:rsidR="000964C7" w:rsidRPr="00CC6D49" w:rsidRDefault="000964C7" w:rsidP="000964C7">
      <w:pPr>
        <w:framePr w:hSpace="181" w:wrap="around" w:vAnchor="text" w:hAnchor="page" w:x="1109" w:y="98"/>
        <w:rPr>
          <w:rFonts w:ascii="Times New Roman" w:eastAsia="MS Reference 2" w:hAnsi="Times New Roman"/>
          <w:noProof/>
          <w:lang w:val="de-DE"/>
        </w:rPr>
      </w:pPr>
      <w:r w:rsidRPr="00CC6D49">
        <w:rPr>
          <w:rFonts w:ascii="Times New Roman" w:eastAsia="MS Reference 2" w:hAnsi="Times New Roman"/>
          <w:noProof/>
        </w:rPr>
        <w:object w:dxaOrig="1380" w:dyaOrig="1620" w14:anchorId="2FB0FB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6pt" o:ole="">
            <v:imagedata r:id="rId9" o:title=""/>
          </v:shape>
          <o:OLEObject Type="Embed" ProgID="PBrush" ShapeID="_x0000_i1025" DrawAspect="Content" ObjectID="_1818239439" r:id="rId10"/>
        </w:object>
      </w:r>
    </w:p>
    <w:p w14:paraId="60B11C8F" w14:textId="77777777"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noProof/>
        </w:rPr>
        <w:t xml:space="preserve">                   </w:t>
      </w:r>
      <w:r>
        <w:rPr>
          <w:rFonts w:ascii="Times New Roman" w:eastAsia="MS Reference 2" w:hAnsi="Times New Roman"/>
          <w:noProof/>
        </w:rPr>
        <w:t xml:space="preserve">   </w:t>
      </w:r>
      <w:r w:rsidRPr="00737D42">
        <w:t xml:space="preserve">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REPUBLIKA HRVATSKA</w:t>
      </w:r>
    </w:p>
    <w:p w14:paraId="05A1834D" w14:textId="77777777" w:rsidR="000964C7" w:rsidRDefault="000964C7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  <w:r w:rsidRPr="00737D42">
        <w:rPr>
          <w:rFonts w:ascii="Times New Roman" w:eastAsia="MS Reference 2" w:hAnsi="Times New Roman"/>
          <w:b/>
          <w:bCs/>
          <w:noProof/>
          <w:lang w:val="de-DE"/>
        </w:rPr>
        <w:t xml:space="preserve">      </w:t>
      </w:r>
      <w:r>
        <w:rPr>
          <w:rFonts w:ascii="Times New Roman" w:eastAsia="MS Reference 2" w:hAnsi="Times New Roman"/>
          <w:b/>
          <w:bCs/>
          <w:noProof/>
          <w:lang w:val="de-DE"/>
        </w:rPr>
        <w:t xml:space="preserve">  </w:t>
      </w:r>
      <w:r w:rsidRPr="00737D42">
        <w:rPr>
          <w:rFonts w:ascii="Times New Roman" w:eastAsia="MS Reference 2" w:hAnsi="Times New Roman"/>
          <w:b/>
          <w:bCs/>
          <w:noProof/>
          <w:lang w:val="de-DE"/>
        </w:rPr>
        <w:t>BJELOVARSKO-BILOGORSKA ŽUPANIJA</w:t>
      </w:r>
    </w:p>
    <w:p w14:paraId="2036E349" w14:textId="1C90151D" w:rsidR="000964C7" w:rsidRDefault="00B73B12" w:rsidP="00B73B12">
      <w:pPr>
        <w:tabs>
          <w:tab w:val="center" w:pos="3544"/>
        </w:tabs>
        <w:spacing w:line="276" w:lineRule="auto"/>
        <w:rPr>
          <w:rFonts w:ascii="Times New Roman" w:eastAsia="MS Reference 2" w:hAnsi="Times New Roman"/>
          <w:b/>
          <w:bCs/>
          <w:noProof/>
        </w:rPr>
      </w:pPr>
      <w:r>
        <w:rPr>
          <w:rFonts w:ascii="Times New Roman" w:eastAsia="MS Reference 2" w:hAnsi="Times New Roman"/>
          <w:b/>
          <w:bCs/>
          <w:noProof/>
        </w:rPr>
        <w:t xml:space="preserve">    </w:t>
      </w:r>
      <w:r w:rsidR="000964C7" w:rsidRPr="00CC6D49">
        <w:rPr>
          <w:rFonts w:ascii="Times New Roman" w:eastAsia="MS Reference 2" w:hAnsi="Times New Roman"/>
          <w:b/>
          <w:bCs/>
          <w:noProof/>
        </w:rPr>
        <w:t>UPRAVNI ODJEL ZA</w:t>
      </w:r>
      <w:r>
        <w:rPr>
          <w:rFonts w:ascii="Times New Roman" w:eastAsia="MS Reference 2" w:hAnsi="Times New Roman"/>
          <w:b/>
          <w:bCs/>
          <w:noProof/>
        </w:rPr>
        <w:t xml:space="preserve"> FINANCIJE</w:t>
      </w:r>
      <w:r w:rsidR="00CF50DB">
        <w:rPr>
          <w:rFonts w:ascii="Times New Roman" w:eastAsia="MS Reference 2" w:hAnsi="Times New Roman"/>
          <w:b/>
          <w:bCs/>
          <w:noProof/>
        </w:rPr>
        <w:t xml:space="preserve"> I PRORAČUN</w:t>
      </w:r>
      <w:r w:rsidR="00D11418">
        <w:rPr>
          <w:rFonts w:ascii="Times New Roman" w:eastAsia="MS Reference 2" w:hAnsi="Times New Roman"/>
          <w:b/>
          <w:bCs/>
          <w:noProof/>
        </w:rPr>
        <w:t xml:space="preserve"> </w:t>
      </w:r>
    </w:p>
    <w:p w14:paraId="74BA37D7" w14:textId="77777777" w:rsidR="00B73B12" w:rsidRDefault="00B73B12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</w:p>
    <w:p w14:paraId="26FD2885" w14:textId="77777777" w:rsidR="00B73B12" w:rsidRDefault="00B73B12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</w:p>
    <w:p w14:paraId="59084211" w14:textId="77777777" w:rsidR="00D25DC3" w:rsidRPr="00931C69" w:rsidRDefault="00D25DC3" w:rsidP="00787717">
      <w:pPr>
        <w:tabs>
          <w:tab w:val="left" w:pos="2552"/>
        </w:tabs>
        <w:spacing w:line="276" w:lineRule="auto"/>
        <w:rPr>
          <w:rFonts w:ascii="Times New Roman" w:eastAsia="MS Reference 2" w:hAnsi="Times New Roman"/>
          <w:b/>
          <w:bCs/>
          <w:noProof/>
          <w:lang w:val="de-DE"/>
        </w:rPr>
      </w:pPr>
    </w:p>
    <w:p w14:paraId="2CDB7885" w14:textId="3368CE84" w:rsidR="00CE2E50" w:rsidRPr="00931C69" w:rsidRDefault="00B73B12" w:rsidP="00CB61E6">
      <w:pPr>
        <w:tabs>
          <w:tab w:val="left" w:pos="3828"/>
          <w:tab w:val="center" w:pos="6946"/>
        </w:tabs>
        <w:spacing w:line="360" w:lineRule="auto"/>
        <w:jc w:val="center"/>
        <w:rPr>
          <w:rFonts w:ascii="Times New Roman" w:hAnsi="Times New Roman"/>
          <w:b/>
          <w:noProof/>
          <w:lang w:val="de-DE"/>
        </w:rPr>
      </w:pPr>
      <w:r w:rsidRPr="00931C69">
        <w:rPr>
          <w:rFonts w:ascii="Times New Roman" w:hAnsi="Times New Roman"/>
          <w:b/>
          <w:noProof/>
          <w:lang w:val="de-DE"/>
        </w:rPr>
        <w:t xml:space="preserve"> </w:t>
      </w:r>
      <w:r w:rsidR="00931C69" w:rsidRPr="00931C69">
        <w:rPr>
          <w:rFonts w:ascii="Times New Roman" w:hAnsi="Times New Roman"/>
          <w:b/>
          <w:noProof/>
          <w:lang w:val="de-DE"/>
        </w:rPr>
        <w:t>3.</w:t>
      </w:r>
      <w:r w:rsidRPr="00931C69">
        <w:rPr>
          <w:rFonts w:ascii="Times New Roman" w:hAnsi="Times New Roman"/>
          <w:b/>
          <w:noProof/>
          <w:lang w:val="de-DE"/>
        </w:rPr>
        <w:t xml:space="preserve"> OBRAZLOŽENJE </w:t>
      </w:r>
      <w:r w:rsidR="00D11418" w:rsidRPr="00931C69">
        <w:rPr>
          <w:rFonts w:ascii="Times New Roman" w:hAnsi="Times New Roman"/>
          <w:b/>
          <w:noProof/>
          <w:lang w:val="de-DE"/>
        </w:rPr>
        <w:t>POLU</w:t>
      </w:r>
      <w:r w:rsidR="00CE2E50" w:rsidRPr="00931C69">
        <w:rPr>
          <w:rFonts w:ascii="Times New Roman" w:hAnsi="Times New Roman"/>
          <w:b/>
          <w:noProof/>
          <w:lang w:val="de-DE"/>
        </w:rPr>
        <w:t>GODIŠNJ</w:t>
      </w:r>
      <w:r w:rsidR="00F26A8A" w:rsidRPr="00931C69">
        <w:rPr>
          <w:rFonts w:ascii="Times New Roman" w:hAnsi="Times New Roman"/>
          <w:b/>
          <w:noProof/>
          <w:lang w:val="de-DE"/>
        </w:rPr>
        <w:t>EG</w:t>
      </w:r>
      <w:r w:rsidR="00CE2E50" w:rsidRPr="00931C69">
        <w:rPr>
          <w:rFonts w:ascii="Times New Roman" w:hAnsi="Times New Roman"/>
          <w:b/>
          <w:noProof/>
          <w:lang w:val="de-DE"/>
        </w:rPr>
        <w:t xml:space="preserve"> IZVJEŠTAJ</w:t>
      </w:r>
      <w:r w:rsidR="00F26A8A" w:rsidRPr="00931C69">
        <w:rPr>
          <w:rFonts w:ascii="Times New Roman" w:hAnsi="Times New Roman"/>
          <w:b/>
          <w:noProof/>
          <w:lang w:val="de-DE"/>
        </w:rPr>
        <w:t>A</w:t>
      </w:r>
      <w:r w:rsidR="00CE2E50" w:rsidRPr="00931C69">
        <w:rPr>
          <w:rFonts w:ascii="Times New Roman" w:hAnsi="Times New Roman"/>
          <w:b/>
          <w:noProof/>
          <w:lang w:val="de-DE"/>
        </w:rPr>
        <w:t xml:space="preserve"> O IZVRŠENJU</w:t>
      </w:r>
    </w:p>
    <w:p w14:paraId="7AAB40D5" w14:textId="19BFAAB4" w:rsidR="00B73B12" w:rsidRPr="00931C69" w:rsidRDefault="00CB61E6" w:rsidP="00CB61E6">
      <w:pPr>
        <w:tabs>
          <w:tab w:val="left" w:pos="3828"/>
          <w:tab w:val="center" w:pos="6946"/>
        </w:tabs>
        <w:spacing w:line="360" w:lineRule="auto"/>
        <w:jc w:val="center"/>
        <w:rPr>
          <w:rFonts w:ascii="Times New Roman" w:hAnsi="Times New Roman"/>
          <w:b/>
          <w:noProof/>
          <w:lang w:val="de-DE"/>
        </w:rPr>
      </w:pPr>
      <w:r w:rsidRPr="00931C69">
        <w:rPr>
          <w:rFonts w:ascii="Times New Roman" w:hAnsi="Times New Roman"/>
          <w:b/>
          <w:noProof/>
          <w:lang w:val="de-DE"/>
        </w:rPr>
        <w:t xml:space="preserve">PRORAČUNA BJELOVARSKO-BILOGORSKE ŽUPANIJE ZA </w:t>
      </w:r>
      <w:r w:rsidR="00D37D27" w:rsidRPr="00931C69">
        <w:rPr>
          <w:rFonts w:ascii="Times New Roman" w:hAnsi="Times New Roman"/>
          <w:b/>
          <w:noProof/>
          <w:lang w:val="de-DE"/>
        </w:rPr>
        <w:t>202</w:t>
      </w:r>
      <w:r w:rsidR="00D11418" w:rsidRPr="00931C69">
        <w:rPr>
          <w:rFonts w:ascii="Times New Roman" w:hAnsi="Times New Roman"/>
          <w:b/>
          <w:noProof/>
          <w:lang w:val="de-DE"/>
        </w:rPr>
        <w:t>5</w:t>
      </w:r>
      <w:r w:rsidRPr="00931C69">
        <w:rPr>
          <w:rFonts w:ascii="Times New Roman" w:hAnsi="Times New Roman"/>
          <w:b/>
          <w:noProof/>
          <w:lang w:val="de-DE"/>
        </w:rPr>
        <w:t>. GODINU</w:t>
      </w:r>
    </w:p>
    <w:p w14:paraId="3A51BAB1" w14:textId="77777777" w:rsidR="00931C69" w:rsidRPr="00931C69" w:rsidRDefault="00931C69" w:rsidP="00CB61E6">
      <w:pPr>
        <w:tabs>
          <w:tab w:val="left" w:pos="3828"/>
          <w:tab w:val="center" w:pos="6946"/>
        </w:tabs>
        <w:spacing w:line="360" w:lineRule="auto"/>
        <w:jc w:val="center"/>
        <w:rPr>
          <w:rFonts w:ascii="Times New Roman" w:hAnsi="Times New Roman"/>
          <w:b/>
          <w:noProof/>
          <w:lang w:val="de-DE"/>
        </w:rPr>
      </w:pPr>
    </w:p>
    <w:p w14:paraId="227B5756" w14:textId="42AF7DAB" w:rsidR="00931C69" w:rsidRDefault="00931C69" w:rsidP="00CB61E6">
      <w:pPr>
        <w:tabs>
          <w:tab w:val="left" w:pos="3828"/>
          <w:tab w:val="center" w:pos="6946"/>
        </w:tabs>
        <w:spacing w:line="360" w:lineRule="auto"/>
        <w:jc w:val="center"/>
        <w:rPr>
          <w:rFonts w:ascii="Times New Roman" w:hAnsi="Times New Roman"/>
          <w:b/>
          <w:noProof/>
          <w:lang w:val="de-DE"/>
        </w:rPr>
      </w:pPr>
      <w:r w:rsidRPr="00931C69">
        <w:rPr>
          <w:rFonts w:ascii="Times New Roman" w:hAnsi="Times New Roman"/>
          <w:b/>
          <w:noProof/>
          <w:lang w:val="de-DE"/>
        </w:rPr>
        <w:t>3.1. Obrazloženje općeg dijela</w:t>
      </w:r>
      <w:r>
        <w:rPr>
          <w:rFonts w:ascii="Times New Roman" w:hAnsi="Times New Roman"/>
          <w:b/>
          <w:noProof/>
          <w:lang w:val="de-DE"/>
        </w:rPr>
        <w:t xml:space="preserve"> </w:t>
      </w:r>
      <w:r w:rsidR="0067711E">
        <w:rPr>
          <w:rFonts w:ascii="Times New Roman" w:hAnsi="Times New Roman"/>
          <w:b/>
          <w:noProof/>
          <w:lang w:val="de-DE"/>
        </w:rPr>
        <w:t>P</w:t>
      </w:r>
      <w:r>
        <w:rPr>
          <w:rFonts w:ascii="Times New Roman" w:hAnsi="Times New Roman"/>
          <w:b/>
          <w:noProof/>
          <w:lang w:val="de-DE"/>
        </w:rPr>
        <w:t>olugodišnjeg</w:t>
      </w:r>
      <w:r w:rsidRPr="00931C69">
        <w:rPr>
          <w:rFonts w:ascii="Times New Roman" w:hAnsi="Times New Roman"/>
          <w:b/>
          <w:noProof/>
          <w:lang w:val="de-DE"/>
        </w:rPr>
        <w:t xml:space="preserve"> izvještaja o </w:t>
      </w:r>
    </w:p>
    <w:p w14:paraId="16E32644" w14:textId="0A624B9C" w:rsidR="004A4842" w:rsidRPr="00931C69" w:rsidRDefault="00931C69" w:rsidP="00931C69">
      <w:pPr>
        <w:tabs>
          <w:tab w:val="left" w:pos="3828"/>
          <w:tab w:val="center" w:pos="6946"/>
        </w:tabs>
        <w:spacing w:line="360" w:lineRule="auto"/>
        <w:jc w:val="center"/>
        <w:rPr>
          <w:rFonts w:ascii="Times New Roman" w:hAnsi="Times New Roman"/>
          <w:b/>
          <w:noProof/>
          <w:lang w:val="de-DE"/>
        </w:rPr>
      </w:pPr>
      <w:r w:rsidRPr="00931C69">
        <w:rPr>
          <w:rFonts w:ascii="Times New Roman" w:hAnsi="Times New Roman"/>
          <w:b/>
          <w:noProof/>
          <w:lang w:val="de-DE"/>
        </w:rPr>
        <w:t>izvršenju Proračuna</w:t>
      </w:r>
      <w:r>
        <w:rPr>
          <w:rFonts w:ascii="Times New Roman" w:hAnsi="Times New Roman"/>
          <w:b/>
          <w:noProof/>
          <w:lang w:val="de-DE"/>
        </w:rPr>
        <w:t xml:space="preserve"> </w:t>
      </w:r>
      <w:r w:rsidR="001237E8">
        <w:rPr>
          <w:rFonts w:ascii="Times New Roman" w:hAnsi="Times New Roman"/>
          <w:b/>
          <w:noProof/>
          <w:lang w:val="de-DE"/>
        </w:rPr>
        <w:t>Bjelovarsko-bilogorske županije</w:t>
      </w:r>
      <w:r>
        <w:rPr>
          <w:rFonts w:ascii="Times New Roman" w:hAnsi="Times New Roman"/>
          <w:b/>
          <w:noProof/>
          <w:lang w:val="de-DE"/>
        </w:rPr>
        <w:t xml:space="preserve"> za 2025. godinu</w:t>
      </w:r>
    </w:p>
    <w:p w14:paraId="233FADFC" w14:textId="7B21596B" w:rsidR="00031305" w:rsidRDefault="00864A00" w:rsidP="00685ADC">
      <w:pPr>
        <w:tabs>
          <w:tab w:val="left" w:pos="851"/>
        </w:tabs>
        <w:spacing w:before="24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noProof/>
          <w:szCs w:val="24"/>
        </w:rPr>
        <w:tab/>
      </w:r>
      <w:r w:rsidR="00CE2E50">
        <w:rPr>
          <w:rFonts w:ascii="Times New Roman" w:hAnsi="Times New Roman"/>
          <w:bCs/>
          <w:noProof/>
          <w:szCs w:val="24"/>
        </w:rPr>
        <w:t xml:space="preserve"> </w:t>
      </w:r>
      <w:r w:rsidR="00D11418">
        <w:rPr>
          <w:rFonts w:ascii="Times New Roman" w:hAnsi="Times New Roman"/>
          <w:bCs/>
          <w:noProof/>
          <w:szCs w:val="24"/>
        </w:rPr>
        <w:t>Polugodišnji</w:t>
      </w:r>
      <w:r w:rsidR="002E1946" w:rsidRPr="002E1946">
        <w:rPr>
          <w:rFonts w:ascii="Times New Roman" w:hAnsi="Times New Roman"/>
          <w:bCs/>
          <w:noProof/>
          <w:szCs w:val="24"/>
        </w:rPr>
        <w:t xml:space="preserve"> izvještaj o izvršenju </w:t>
      </w:r>
      <w:r w:rsidR="00675D9D">
        <w:rPr>
          <w:rFonts w:ascii="Times New Roman" w:hAnsi="Times New Roman"/>
          <w:bCs/>
          <w:noProof/>
          <w:szCs w:val="24"/>
        </w:rPr>
        <w:t>P</w:t>
      </w:r>
      <w:r w:rsidR="002E1946" w:rsidRPr="002E1946">
        <w:rPr>
          <w:rFonts w:ascii="Times New Roman" w:hAnsi="Times New Roman"/>
          <w:bCs/>
          <w:noProof/>
          <w:szCs w:val="24"/>
        </w:rPr>
        <w:t>roračuna Bjelovarsko-bilogorske županije za 202</w:t>
      </w:r>
      <w:r w:rsidR="00D11418">
        <w:rPr>
          <w:rFonts w:ascii="Times New Roman" w:hAnsi="Times New Roman"/>
          <w:bCs/>
          <w:noProof/>
          <w:szCs w:val="24"/>
        </w:rPr>
        <w:t>5</w:t>
      </w:r>
      <w:r w:rsidR="002E1946" w:rsidRPr="002E1946">
        <w:rPr>
          <w:rFonts w:ascii="Times New Roman" w:hAnsi="Times New Roman"/>
          <w:bCs/>
          <w:noProof/>
          <w:szCs w:val="24"/>
        </w:rPr>
        <w:t>. godinu</w:t>
      </w:r>
      <w:r w:rsidR="000F1224">
        <w:rPr>
          <w:rFonts w:ascii="Times New Roman" w:hAnsi="Times New Roman"/>
          <w:bCs/>
          <w:noProof/>
          <w:szCs w:val="24"/>
        </w:rPr>
        <w:t xml:space="preserve"> sastavljen je sukladno </w:t>
      </w:r>
      <w:r w:rsidR="00CE2E50">
        <w:rPr>
          <w:rFonts w:ascii="Times New Roman" w:hAnsi="Times New Roman"/>
          <w:bCs/>
          <w:noProof/>
          <w:szCs w:val="24"/>
        </w:rPr>
        <w:t>Zakon</w:t>
      </w:r>
      <w:r w:rsidR="000F1224">
        <w:rPr>
          <w:rFonts w:ascii="Times New Roman" w:hAnsi="Times New Roman"/>
          <w:bCs/>
          <w:noProof/>
          <w:szCs w:val="24"/>
        </w:rPr>
        <w:t>u</w:t>
      </w:r>
      <w:r w:rsidR="00CE2E50">
        <w:rPr>
          <w:rFonts w:ascii="Times New Roman" w:hAnsi="Times New Roman"/>
          <w:bCs/>
          <w:noProof/>
          <w:szCs w:val="24"/>
        </w:rPr>
        <w:t xml:space="preserve"> o proračunu</w:t>
      </w:r>
      <w:r w:rsidR="00F80EB0">
        <w:rPr>
          <w:rFonts w:ascii="Times New Roman" w:hAnsi="Times New Roman"/>
          <w:bCs/>
          <w:noProof/>
          <w:szCs w:val="24"/>
        </w:rPr>
        <w:t xml:space="preserve"> („Narodne novine</w:t>
      </w:r>
      <w:r w:rsidR="00D11418">
        <w:rPr>
          <w:rFonts w:ascii="Times New Roman" w:hAnsi="Times New Roman"/>
          <w:bCs/>
          <w:noProof/>
          <w:szCs w:val="24"/>
        </w:rPr>
        <w:t>“</w:t>
      </w:r>
      <w:r w:rsidR="00F80EB0">
        <w:rPr>
          <w:rFonts w:ascii="Times New Roman" w:hAnsi="Times New Roman"/>
          <w:bCs/>
          <w:noProof/>
          <w:szCs w:val="24"/>
        </w:rPr>
        <w:t xml:space="preserve"> broj 1</w:t>
      </w:r>
      <w:r w:rsidR="00111E0D">
        <w:rPr>
          <w:rFonts w:ascii="Times New Roman" w:hAnsi="Times New Roman"/>
          <w:bCs/>
          <w:noProof/>
          <w:szCs w:val="24"/>
        </w:rPr>
        <w:t>44</w:t>
      </w:r>
      <w:r w:rsidR="00F80EB0">
        <w:rPr>
          <w:rFonts w:ascii="Times New Roman" w:hAnsi="Times New Roman"/>
          <w:bCs/>
          <w:noProof/>
          <w:szCs w:val="24"/>
        </w:rPr>
        <w:t>/2024.)</w:t>
      </w:r>
      <w:r w:rsidR="00CE2E50">
        <w:rPr>
          <w:rFonts w:ascii="Times New Roman" w:hAnsi="Times New Roman"/>
          <w:bCs/>
          <w:noProof/>
          <w:szCs w:val="24"/>
        </w:rPr>
        <w:t xml:space="preserve">, </w:t>
      </w:r>
      <w:r>
        <w:rPr>
          <w:rFonts w:ascii="Times New Roman" w:hAnsi="Times New Roman"/>
          <w:bCs/>
          <w:noProof/>
          <w:szCs w:val="24"/>
        </w:rPr>
        <w:t>Pravilnik</w:t>
      </w:r>
      <w:r w:rsidR="000F1224">
        <w:rPr>
          <w:rFonts w:ascii="Times New Roman" w:hAnsi="Times New Roman"/>
          <w:bCs/>
          <w:noProof/>
          <w:szCs w:val="24"/>
        </w:rPr>
        <w:t>u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CB61E6" w:rsidRPr="00CB61E6">
        <w:rPr>
          <w:rFonts w:ascii="Times New Roman" w:hAnsi="Times New Roman"/>
          <w:bCs/>
          <w:noProof/>
          <w:szCs w:val="24"/>
        </w:rPr>
        <w:t>o polugodišnjem i godišnjem izvještaju o izvršenju proračuna</w:t>
      </w:r>
      <w:r w:rsidR="00667B4A">
        <w:rPr>
          <w:rFonts w:ascii="Times New Roman" w:hAnsi="Times New Roman"/>
          <w:bCs/>
          <w:noProof/>
          <w:szCs w:val="24"/>
        </w:rPr>
        <w:t xml:space="preserve"> </w:t>
      </w:r>
      <w:r w:rsidR="00CB61E6" w:rsidRPr="00CB61E6">
        <w:rPr>
          <w:rFonts w:ascii="Times New Roman" w:hAnsi="Times New Roman"/>
          <w:bCs/>
          <w:noProof/>
          <w:szCs w:val="24"/>
        </w:rPr>
        <w:t>i financijskog plana</w:t>
      </w:r>
      <w:r w:rsidR="00667B4A">
        <w:rPr>
          <w:rFonts w:ascii="Times New Roman" w:hAnsi="Times New Roman"/>
          <w:bCs/>
          <w:noProof/>
          <w:szCs w:val="24"/>
        </w:rPr>
        <w:t xml:space="preserve"> („Narodne novine</w:t>
      </w:r>
      <w:r w:rsidR="00D11418">
        <w:rPr>
          <w:rFonts w:ascii="Times New Roman" w:hAnsi="Times New Roman"/>
          <w:bCs/>
          <w:noProof/>
          <w:szCs w:val="24"/>
        </w:rPr>
        <w:t>“</w:t>
      </w:r>
      <w:r w:rsidR="00667B4A">
        <w:rPr>
          <w:rFonts w:ascii="Times New Roman" w:hAnsi="Times New Roman"/>
          <w:bCs/>
          <w:noProof/>
          <w:szCs w:val="24"/>
        </w:rPr>
        <w:t xml:space="preserve"> broj 85/2023.)</w:t>
      </w:r>
      <w:r w:rsidR="00CB61E6" w:rsidRPr="00CB61E6">
        <w:rPr>
          <w:rFonts w:ascii="Times New Roman" w:hAnsi="Times New Roman"/>
          <w:bCs/>
          <w:noProof/>
          <w:szCs w:val="24"/>
        </w:rPr>
        <w:t xml:space="preserve"> </w:t>
      </w:r>
      <w:r w:rsidR="00667B4A">
        <w:rPr>
          <w:rFonts w:ascii="Times New Roman" w:hAnsi="Times New Roman"/>
          <w:bCs/>
          <w:noProof/>
          <w:szCs w:val="24"/>
        </w:rPr>
        <w:t>kojim se propisuje izgled, sadržaj, obveznici primjene, način i rokovi podnošenja, donošenja i objave polugodišnjeg i godišnjeg izvještaja o izvršenju proračuna i fina</w:t>
      </w:r>
      <w:r w:rsidR="00052F84">
        <w:rPr>
          <w:rFonts w:ascii="Times New Roman" w:hAnsi="Times New Roman"/>
          <w:bCs/>
          <w:noProof/>
          <w:szCs w:val="24"/>
        </w:rPr>
        <w:t>n</w:t>
      </w:r>
      <w:r w:rsidR="00667B4A">
        <w:rPr>
          <w:rFonts w:ascii="Times New Roman" w:hAnsi="Times New Roman"/>
          <w:bCs/>
          <w:noProof/>
          <w:szCs w:val="24"/>
        </w:rPr>
        <w:t>cijskog plana</w:t>
      </w:r>
      <w:r w:rsidR="000F1224">
        <w:rPr>
          <w:rFonts w:ascii="Times New Roman" w:hAnsi="Times New Roman"/>
          <w:bCs/>
          <w:noProof/>
          <w:szCs w:val="24"/>
        </w:rPr>
        <w:t>.</w:t>
      </w:r>
    </w:p>
    <w:p w14:paraId="68331E74" w14:textId="7648F70F" w:rsidR="00765F21" w:rsidRDefault="00A556A2" w:rsidP="00F10916">
      <w:pPr>
        <w:tabs>
          <w:tab w:val="left" w:pos="851"/>
        </w:tabs>
        <w:spacing w:before="240" w:line="36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ab/>
      </w:r>
      <w:r w:rsidR="00955B4D">
        <w:rPr>
          <w:rFonts w:ascii="Times New Roman" w:hAnsi="Times New Roman"/>
          <w:szCs w:val="24"/>
        </w:rPr>
        <w:t>Polug</w:t>
      </w:r>
      <w:r w:rsidR="002B4696">
        <w:rPr>
          <w:rFonts w:ascii="Times New Roman" w:hAnsi="Times New Roman"/>
          <w:szCs w:val="24"/>
        </w:rPr>
        <w:t xml:space="preserve">odišnji </w:t>
      </w:r>
      <w:r>
        <w:rPr>
          <w:rFonts w:ascii="Times New Roman" w:hAnsi="Times New Roman"/>
          <w:szCs w:val="24"/>
        </w:rPr>
        <w:t xml:space="preserve">izvještaj o </w:t>
      </w:r>
      <w:r w:rsidR="00B14D33">
        <w:rPr>
          <w:rFonts w:ascii="Times New Roman" w:hAnsi="Times New Roman"/>
          <w:szCs w:val="24"/>
        </w:rPr>
        <w:t xml:space="preserve">izvršenju </w:t>
      </w:r>
      <w:r w:rsidR="00675D9D">
        <w:rPr>
          <w:rFonts w:ascii="Times New Roman" w:hAnsi="Times New Roman"/>
          <w:szCs w:val="24"/>
        </w:rPr>
        <w:t>P</w:t>
      </w:r>
      <w:r w:rsidR="00B14D33">
        <w:rPr>
          <w:rFonts w:ascii="Times New Roman" w:hAnsi="Times New Roman"/>
          <w:szCs w:val="24"/>
        </w:rPr>
        <w:t>roračuna</w:t>
      </w:r>
      <w:r w:rsidR="00CA29C7">
        <w:rPr>
          <w:rFonts w:ascii="Times New Roman" w:hAnsi="Times New Roman"/>
          <w:szCs w:val="24"/>
        </w:rPr>
        <w:t xml:space="preserve"> Bjelovarsko-bilogorske županije</w:t>
      </w:r>
      <w:r w:rsidR="002B4696">
        <w:rPr>
          <w:rFonts w:ascii="Times New Roman" w:hAnsi="Times New Roman"/>
          <w:szCs w:val="24"/>
        </w:rPr>
        <w:t xml:space="preserve"> za 202</w:t>
      </w:r>
      <w:r w:rsidR="00955B4D">
        <w:rPr>
          <w:rFonts w:ascii="Times New Roman" w:hAnsi="Times New Roman"/>
          <w:szCs w:val="24"/>
        </w:rPr>
        <w:t>5</w:t>
      </w:r>
      <w:r w:rsidR="002B4696">
        <w:rPr>
          <w:rFonts w:ascii="Times New Roman" w:hAnsi="Times New Roman"/>
          <w:szCs w:val="24"/>
        </w:rPr>
        <w:t>. godinu</w:t>
      </w:r>
      <w:r w:rsidR="00CA29C7">
        <w:rPr>
          <w:rFonts w:ascii="Times New Roman" w:hAnsi="Times New Roman"/>
          <w:szCs w:val="24"/>
        </w:rPr>
        <w:t xml:space="preserve"> </w:t>
      </w:r>
      <w:r w:rsidR="00B14D33">
        <w:rPr>
          <w:rFonts w:ascii="Times New Roman" w:hAnsi="Times New Roman"/>
          <w:szCs w:val="24"/>
        </w:rPr>
        <w:t xml:space="preserve">sadrži </w:t>
      </w:r>
      <w:r w:rsidR="00B14D33" w:rsidRPr="00B14D33">
        <w:rPr>
          <w:rFonts w:ascii="Times New Roman" w:hAnsi="Times New Roman"/>
          <w:b/>
          <w:szCs w:val="24"/>
        </w:rPr>
        <w:t>opći dio, posebni dio, obrazloženje i posebne izvještaje.</w:t>
      </w:r>
    </w:p>
    <w:p w14:paraId="3C4CD851" w14:textId="77777777" w:rsidR="00765F21" w:rsidRDefault="00765F21" w:rsidP="00765F21">
      <w:pPr>
        <w:spacing w:line="276" w:lineRule="auto"/>
        <w:ind w:firstLine="708"/>
        <w:jc w:val="both"/>
        <w:rPr>
          <w:rFonts w:ascii="Times New Roman" w:hAnsi="Times New Roman"/>
          <w:b/>
          <w:i/>
          <w:szCs w:val="24"/>
        </w:rPr>
      </w:pPr>
    </w:p>
    <w:p w14:paraId="2C2E7738" w14:textId="377863F8" w:rsidR="00765F21" w:rsidRDefault="00765F21" w:rsidP="00765F21">
      <w:pPr>
        <w:spacing w:line="276" w:lineRule="auto"/>
        <w:ind w:firstLine="708"/>
        <w:jc w:val="both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Opći</w:t>
      </w:r>
      <w:r w:rsidRPr="00332F30">
        <w:rPr>
          <w:rFonts w:ascii="Times New Roman" w:hAnsi="Times New Roman"/>
          <w:b/>
          <w:i/>
          <w:szCs w:val="24"/>
        </w:rPr>
        <w:t xml:space="preserve"> dio </w:t>
      </w:r>
      <w:r>
        <w:rPr>
          <w:rFonts w:ascii="Times New Roman" w:hAnsi="Times New Roman"/>
          <w:b/>
          <w:i/>
          <w:szCs w:val="24"/>
        </w:rPr>
        <w:t xml:space="preserve">izvještaja o izvršenju </w:t>
      </w:r>
      <w:r w:rsidR="00675D9D">
        <w:rPr>
          <w:rFonts w:ascii="Times New Roman" w:hAnsi="Times New Roman"/>
          <w:b/>
          <w:i/>
          <w:szCs w:val="24"/>
        </w:rPr>
        <w:t>P</w:t>
      </w:r>
      <w:r>
        <w:rPr>
          <w:rFonts w:ascii="Times New Roman" w:hAnsi="Times New Roman"/>
          <w:b/>
          <w:i/>
          <w:szCs w:val="24"/>
        </w:rPr>
        <w:t>roračuna</w:t>
      </w:r>
    </w:p>
    <w:p w14:paraId="0DA0FD9F" w14:textId="77777777" w:rsidR="00765F21" w:rsidRPr="00765F21" w:rsidRDefault="00765F21" w:rsidP="00765F21">
      <w:pPr>
        <w:spacing w:line="276" w:lineRule="auto"/>
        <w:ind w:firstLine="708"/>
        <w:jc w:val="both"/>
        <w:rPr>
          <w:rFonts w:ascii="Times New Roman" w:hAnsi="Times New Roman"/>
          <w:b/>
          <w:i/>
          <w:szCs w:val="24"/>
        </w:rPr>
      </w:pPr>
    </w:p>
    <w:p w14:paraId="7C40238B" w14:textId="5FB9B490" w:rsidR="00955B4D" w:rsidRPr="00DE56BC" w:rsidRDefault="00CF2CFF" w:rsidP="002B38F5">
      <w:pPr>
        <w:shd w:val="clear" w:color="auto" w:fill="FFFFFF" w:themeFill="background1"/>
        <w:tabs>
          <w:tab w:val="left" w:pos="851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="00955B4D">
        <w:rPr>
          <w:rFonts w:ascii="Times New Roman" w:hAnsi="Times New Roman"/>
          <w:bCs/>
          <w:noProof/>
          <w:szCs w:val="24"/>
        </w:rPr>
        <w:t>Plan Proračuna</w:t>
      </w:r>
      <w:r w:rsidR="00955B4D" w:rsidRPr="00716ACA">
        <w:rPr>
          <w:rFonts w:ascii="Times New Roman" w:hAnsi="Times New Roman"/>
          <w:bCs/>
          <w:noProof/>
          <w:szCs w:val="24"/>
        </w:rPr>
        <w:t xml:space="preserve"> Bjelovarsko-bilogorske županije za 202</w:t>
      </w:r>
      <w:r w:rsidR="00955B4D">
        <w:rPr>
          <w:rFonts w:ascii="Times New Roman" w:hAnsi="Times New Roman"/>
          <w:bCs/>
          <w:noProof/>
          <w:szCs w:val="24"/>
        </w:rPr>
        <w:t>5</w:t>
      </w:r>
      <w:r w:rsidR="00955B4D" w:rsidRPr="00716ACA">
        <w:rPr>
          <w:rFonts w:ascii="Times New Roman" w:hAnsi="Times New Roman"/>
          <w:bCs/>
          <w:noProof/>
          <w:szCs w:val="24"/>
        </w:rPr>
        <w:t xml:space="preserve">. godinu </w:t>
      </w:r>
      <w:r w:rsidR="00955B4D" w:rsidRPr="0003351F">
        <w:rPr>
          <w:rFonts w:ascii="Times New Roman" w:hAnsi="Times New Roman"/>
          <w:bCs/>
          <w:noProof/>
          <w:szCs w:val="24"/>
        </w:rPr>
        <w:t>iznosi</w:t>
      </w:r>
      <w:r w:rsidR="00AE1813">
        <w:rPr>
          <w:rFonts w:ascii="Times New Roman" w:hAnsi="Times New Roman"/>
          <w:bCs/>
          <w:noProof/>
          <w:szCs w:val="24"/>
        </w:rPr>
        <w:t xml:space="preserve"> </w:t>
      </w:r>
      <w:r w:rsidR="00955B4D">
        <w:rPr>
          <w:rFonts w:ascii="Times New Roman" w:hAnsi="Times New Roman"/>
          <w:bCs/>
          <w:noProof/>
          <w:szCs w:val="24"/>
        </w:rPr>
        <w:t>127.852.697,00</w:t>
      </w:r>
      <w:r w:rsidR="00955B4D" w:rsidRPr="0003351F">
        <w:rPr>
          <w:rFonts w:ascii="Times New Roman" w:hAnsi="Times New Roman"/>
          <w:bCs/>
          <w:noProof/>
          <w:szCs w:val="24"/>
        </w:rPr>
        <w:t xml:space="preserve"> </w:t>
      </w:r>
      <w:r w:rsidR="00054DF3">
        <w:rPr>
          <w:rFonts w:ascii="Times New Roman" w:hAnsi="Times New Roman"/>
          <w:bCs/>
          <w:noProof/>
          <w:szCs w:val="24"/>
        </w:rPr>
        <w:t>eura</w:t>
      </w:r>
      <w:r w:rsidR="00955B4D" w:rsidRPr="0003351F">
        <w:rPr>
          <w:rFonts w:ascii="Times New Roman" w:hAnsi="Times New Roman"/>
          <w:bCs/>
          <w:noProof/>
          <w:szCs w:val="24"/>
        </w:rPr>
        <w:t xml:space="preserve">. </w:t>
      </w:r>
      <w:r w:rsidR="00955B4D">
        <w:rPr>
          <w:rFonts w:ascii="Times New Roman" w:hAnsi="Times New Roman"/>
          <w:bCs/>
          <w:noProof/>
          <w:szCs w:val="24"/>
        </w:rPr>
        <w:t>P</w:t>
      </w:r>
      <w:r w:rsidR="00955B4D" w:rsidRPr="0003351F">
        <w:rPr>
          <w:rFonts w:ascii="Times New Roman" w:hAnsi="Times New Roman"/>
          <w:bCs/>
          <w:noProof/>
          <w:szCs w:val="24"/>
        </w:rPr>
        <w:t xml:space="preserve">rihodi i primici u razdoblju </w:t>
      </w:r>
      <w:r w:rsidR="00054DF3">
        <w:rPr>
          <w:rFonts w:ascii="Times New Roman" w:hAnsi="Times New Roman"/>
          <w:bCs/>
          <w:noProof/>
          <w:szCs w:val="24"/>
        </w:rPr>
        <w:t xml:space="preserve">od </w:t>
      </w:r>
      <w:r w:rsidR="00955B4D" w:rsidRPr="0003351F">
        <w:rPr>
          <w:rFonts w:ascii="Times New Roman" w:hAnsi="Times New Roman"/>
          <w:bCs/>
          <w:noProof/>
          <w:szCs w:val="24"/>
        </w:rPr>
        <w:t>01.01</w:t>
      </w:r>
      <w:r w:rsidR="00054DF3">
        <w:rPr>
          <w:rFonts w:ascii="Times New Roman" w:hAnsi="Times New Roman"/>
          <w:bCs/>
          <w:noProof/>
          <w:szCs w:val="24"/>
        </w:rPr>
        <w:t xml:space="preserve">. do </w:t>
      </w:r>
      <w:r w:rsidR="00955B4D" w:rsidRPr="0003351F">
        <w:rPr>
          <w:rFonts w:ascii="Times New Roman" w:hAnsi="Times New Roman"/>
          <w:bCs/>
          <w:noProof/>
          <w:szCs w:val="24"/>
        </w:rPr>
        <w:t>30.06.202</w:t>
      </w:r>
      <w:r w:rsidR="00955B4D">
        <w:rPr>
          <w:rFonts w:ascii="Times New Roman" w:hAnsi="Times New Roman"/>
          <w:bCs/>
          <w:noProof/>
          <w:szCs w:val="24"/>
        </w:rPr>
        <w:t>5</w:t>
      </w:r>
      <w:r w:rsidR="00955B4D" w:rsidRPr="0003351F">
        <w:rPr>
          <w:rFonts w:ascii="Times New Roman" w:hAnsi="Times New Roman"/>
          <w:bCs/>
          <w:noProof/>
          <w:szCs w:val="24"/>
        </w:rPr>
        <w:t xml:space="preserve">. godine ostvareni su u iznosu </w:t>
      </w:r>
      <w:r w:rsidR="00955B4D" w:rsidRPr="0057248F">
        <w:rPr>
          <w:rFonts w:ascii="Times New Roman" w:hAnsi="Times New Roman"/>
          <w:bCs/>
          <w:noProof/>
          <w:szCs w:val="24"/>
        </w:rPr>
        <w:t xml:space="preserve">od </w:t>
      </w:r>
      <w:r w:rsidR="00955B4D">
        <w:rPr>
          <w:rFonts w:ascii="Times New Roman" w:hAnsi="Times New Roman"/>
          <w:bCs/>
          <w:noProof/>
          <w:szCs w:val="24"/>
        </w:rPr>
        <w:t xml:space="preserve">54.098.885,45 </w:t>
      </w:r>
      <w:r w:rsidR="00054DF3">
        <w:rPr>
          <w:rFonts w:ascii="Times New Roman" w:hAnsi="Times New Roman"/>
          <w:bCs/>
          <w:noProof/>
          <w:szCs w:val="24"/>
        </w:rPr>
        <w:t>eura</w:t>
      </w:r>
      <w:r w:rsidR="00955B4D" w:rsidRPr="0057248F">
        <w:rPr>
          <w:rFonts w:ascii="Times New Roman" w:hAnsi="Times New Roman"/>
          <w:bCs/>
          <w:noProof/>
          <w:szCs w:val="24"/>
        </w:rPr>
        <w:t xml:space="preserve"> što je </w:t>
      </w:r>
      <w:r w:rsidR="00955B4D">
        <w:rPr>
          <w:rFonts w:ascii="Times New Roman" w:hAnsi="Times New Roman"/>
          <w:bCs/>
          <w:noProof/>
          <w:szCs w:val="24"/>
        </w:rPr>
        <w:t>10,54</w:t>
      </w:r>
      <w:r w:rsidR="00955B4D" w:rsidRPr="0057248F">
        <w:rPr>
          <w:rFonts w:ascii="Times New Roman" w:hAnsi="Times New Roman"/>
          <w:bCs/>
          <w:noProof/>
          <w:szCs w:val="24"/>
        </w:rPr>
        <w:t xml:space="preserve"> % </w:t>
      </w:r>
      <w:r w:rsidR="00955B4D">
        <w:rPr>
          <w:rFonts w:ascii="Times New Roman" w:hAnsi="Times New Roman"/>
          <w:bCs/>
          <w:noProof/>
          <w:szCs w:val="24"/>
        </w:rPr>
        <w:t>više</w:t>
      </w:r>
      <w:r w:rsidR="00955B4D" w:rsidRPr="0057248F">
        <w:rPr>
          <w:rFonts w:ascii="Times New Roman" w:hAnsi="Times New Roman"/>
          <w:bCs/>
          <w:noProof/>
          <w:szCs w:val="24"/>
        </w:rPr>
        <w:t xml:space="preserve"> u odnosu na promatrano razdoblje prethodne godine, odnosno </w:t>
      </w:r>
      <w:r w:rsidR="00955B4D">
        <w:rPr>
          <w:rFonts w:ascii="Times New Roman" w:hAnsi="Times New Roman"/>
          <w:bCs/>
          <w:noProof/>
          <w:szCs w:val="24"/>
        </w:rPr>
        <w:t>4</w:t>
      </w:r>
      <w:r w:rsidR="00313C67">
        <w:rPr>
          <w:rFonts w:ascii="Times New Roman" w:hAnsi="Times New Roman"/>
          <w:bCs/>
          <w:noProof/>
          <w:szCs w:val="24"/>
        </w:rPr>
        <w:t>3</w:t>
      </w:r>
      <w:r w:rsidR="00955B4D">
        <w:rPr>
          <w:rFonts w:ascii="Times New Roman" w:hAnsi="Times New Roman"/>
          <w:bCs/>
          <w:noProof/>
          <w:szCs w:val="24"/>
        </w:rPr>
        <w:t>,</w:t>
      </w:r>
      <w:r w:rsidR="00313C67">
        <w:rPr>
          <w:rFonts w:ascii="Times New Roman" w:hAnsi="Times New Roman"/>
          <w:bCs/>
          <w:noProof/>
          <w:szCs w:val="24"/>
        </w:rPr>
        <w:t>4</w:t>
      </w:r>
      <w:r w:rsidR="00955B4D">
        <w:rPr>
          <w:rFonts w:ascii="Times New Roman" w:hAnsi="Times New Roman"/>
          <w:bCs/>
          <w:noProof/>
          <w:szCs w:val="24"/>
        </w:rPr>
        <w:t>1</w:t>
      </w:r>
      <w:r w:rsidR="00955B4D" w:rsidRPr="00877854">
        <w:rPr>
          <w:rFonts w:ascii="Times New Roman" w:hAnsi="Times New Roman"/>
          <w:bCs/>
          <w:noProof/>
          <w:szCs w:val="24"/>
        </w:rPr>
        <w:t xml:space="preserve"> % u odnosu na plan </w:t>
      </w:r>
      <w:r w:rsidR="00955B4D" w:rsidRPr="000029C1">
        <w:rPr>
          <w:rFonts w:ascii="Times New Roman" w:hAnsi="Times New Roman"/>
          <w:bCs/>
          <w:noProof/>
          <w:szCs w:val="24"/>
        </w:rPr>
        <w:t>tekuće godine</w:t>
      </w:r>
      <w:r w:rsidR="00955B4D" w:rsidRPr="00902141">
        <w:rPr>
          <w:rFonts w:ascii="Times New Roman" w:hAnsi="Times New Roman"/>
          <w:bCs/>
          <w:noProof/>
          <w:szCs w:val="24"/>
        </w:rPr>
        <w:t xml:space="preserve">. Ostvarenje rashoda i izdatka u promatranom razdoblju iznosi 60.810.383,42 </w:t>
      </w:r>
      <w:r w:rsidR="00313C67">
        <w:rPr>
          <w:rFonts w:ascii="Times New Roman" w:hAnsi="Times New Roman"/>
          <w:bCs/>
          <w:noProof/>
          <w:szCs w:val="24"/>
        </w:rPr>
        <w:t>eura</w:t>
      </w:r>
      <w:r w:rsidR="00955B4D">
        <w:rPr>
          <w:rFonts w:ascii="Times New Roman" w:hAnsi="Times New Roman"/>
          <w:bCs/>
          <w:noProof/>
          <w:szCs w:val="24"/>
        </w:rPr>
        <w:t>,</w:t>
      </w:r>
      <w:r w:rsidR="00955B4D" w:rsidRPr="00902141">
        <w:rPr>
          <w:rFonts w:ascii="Times New Roman" w:hAnsi="Times New Roman"/>
          <w:bCs/>
          <w:noProof/>
          <w:szCs w:val="24"/>
        </w:rPr>
        <w:t xml:space="preserve"> </w:t>
      </w:r>
      <w:r w:rsidR="00313C67" w:rsidRPr="0057248F">
        <w:rPr>
          <w:rFonts w:ascii="Times New Roman" w:hAnsi="Times New Roman"/>
          <w:bCs/>
          <w:noProof/>
          <w:szCs w:val="24"/>
        </w:rPr>
        <w:t xml:space="preserve">što je </w:t>
      </w:r>
      <w:r w:rsidR="00313C67">
        <w:rPr>
          <w:rFonts w:ascii="Times New Roman" w:hAnsi="Times New Roman"/>
          <w:bCs/>
          <w:noProof/>
          <w:szCs w:val="24"/>
        </w:rPr>
        <w:t>22,11</w:t>
      </w:r>
      <w:r w:rsidR="00313C67" w:rsidRPr="0057248F">
        <w:rPr>
          <w:rFonts w:ascii="Times New Roman" w:hAnsi="Times New Roman"/>
          <w:bCs/>
          <w:noProof/>
          <w:szCs w:val="24"/>
        </w:rPr>
        <w:t xml:space="preserve"> % </w:t>
      </w:r>
      <w:r w:rsidR="00313C67">
        <w:rPr>
          <w:rFonts w:ascii="Times New Roman" w:hAnsi="Times New Roman"/>
          <w:bCs/>
          <w:noProof/>
          <w:szCs w:val="24"/>
        </w:rPr>
        <w:t>više</w:t>
      </w:r>
      <w:r w:rsidR="00313C67" w:rsidRPr="0057248F">
        <w:rPr>
          <w:rFonts w:ascii="Times New Roman" w:hAnsi="Times New Roman"/>
          <w:bCs/>
          <w:noProof/>
          <w:szCs w:val="24"/>
        </w:rPr>
        <w:t xml:space="preserve"> u odnosu na promatrano razdoblje prethodne godine, odnosno </w:t>
      </w:r>
      <w:r w:rsidR="00313C67">
        <w:rPr>
          <w:rFonts w:ascii="Times New Roman" w:hAnsi="Times New Roman"/>
          <w:bCs/>
          <w:noProof/>
          <w:szCs w:val="24"/>
        </w:rPr>
        <w:t>47,56</w:t>
      </w:r>
      <w:r w:rsidR="00313C67" w:rsidRPr="00877854">
        <w:rPr>
          <w:rFonts w:ascii="Times New Roman" w:hAnsi="Times New Roman"/>
          <w:bCs/>
          <w:noProof/>
          <w:szCs w:val="24"/>
        </w:rPr>
        <w:t xml:space="preserve"> % u odnosu na plan </w:t>
      </w:r>
      <w:r w:rsidR="00313C67" w:rsidRPr="000029C1">
        <w:rPr>
          <w:rFonts w:ascii="Times New Roman" w:hAnsi="Times New Roman"/>
          <w:bCs/>
          <w:noProof/>
          <w:szCs w:val="24"/>
        </w:rPr>
        <w:t>tekuće godine</w:t>
      </w:r>
      <w:r w:rsidR="00955B4D" w:rsidRPr="00902141">
        <w:rPr>
          <w:rFonts w:ascii="Times New Roman" w:hAnsi="Times New Roman"/>
          <w:bCs/>
          <w:noProof/>
          <w:szCs w:val="24"/>
        </w:rPr>
        <w:t>. Manjak prihoda i primitaka i rashoda i izdataka izvještajnog razdoblja iznosi 6.711.4</w:t>
      </w:r>
      <w:r w:rsidR="00AE1813">
        <w:rPr>
          <w:rFonts w:ascii="Times New Roman" w:hAnsi="Times New Roman"/>
          <w:bCs/>
          <w:noProof/>
          <w:szCs w:val="24"/>
        </w:rPr>
        <w:t>9</w:t>
      </w:r>
      <w:r w:rsidR="00955B4D" w:rsidRPr="00902141">
        <w:rPr>
          <w:rFonts w:ascii="Times New Roman" w:hAnsi="Times New Roman"/>
          <w:bCs/>
          <w:noProof/>
          <w:szCs w:val="24"/>
        </w:rPr>
        <w:t xml:space="preserve">7,97 </w:t>
      </w:r>
      <w:r w:rsidR="00313C67">
        <w:rPr>
          <w:rFonts w:ascii="Times New Roman" w:hAnsi="Times New Roman"/>
          <w:bCs/>
          <w:noProof/>
          <w:szCs w:val="24"/>
        </w:rPr>
        <w:t>eura</w:t>
      </w:r>
      <w:r w:rsidR="000C74CB">
        <w:rPr>
          <w:rFonts w:ascii="Times New Roman" w:hAnsi="Times New Roman"/>
          <w:bCs/>
          <w:noProof/>
          <w:szCs w:val="24"/>
        </w:rPr>
        <w:t>, a</w:t>
      </w:r>
      <w:r w:rsidR="00955B4D" w:rsidRPr="00902141">
        <w:rPr>
          <w:rFonts w:ascii="Times New Roman" w:hAnsi="Times New Roman"/>
          <w:bCs/>
          <w:noProof/>
          <w:szCs w:val="24"/>
        </w:rPr>
        <w:t xml:space="preserve"> </w:t>
      </w:r>
      <w:r w:rsidR="000C74CB">
        <w:rPr>
          <w:rFonts w:ascii="Times New Roman" w:hAnsi="Times New Roman"/>
          <w:bCs/>
          <w:noProof/>
          <w:szCs w:val="24"/>
        </w:rPr>
        <w:t>s</w:t>
      </w:r>
      <w:r w:rsidR="00955B4D" w:rsidRPr="002E119A">
        <w:rPr>
          <w:rFonts w:ascii="Times New Roman" w:hAnsi="Times New Roman"/>
          <w:bCs/>
          <w:noProof/>
          <w:szCs w:val="24"/>
        </w:rPr>
        <w:t xml:space="preserve"> prenesenim viškom</w:t>
      </w:r>
      <w:r w:rsidR="00675D9D" w:rsidRPr="00675D9D">
        <w:rPr>
          <w:rFonts w:ascii="Times New Roman" w:hAnsi="Times New Roman"/>
          <w:bCs/>
          <w:noProof/>
          <w:szCs w:val="24"/>
        </w:rPr>
        <w:t xml:space="preserve"> </w:t>
      </w:r>
      <w:r w:rsidR="00675D9D" w:rsidRPr="002E119A">
        <w:rPr>
          <w:rFonts w:ascii="Times New Roman" w:hAnsi="Times New Roman"/>
          <w:bCs/>
          <w:noProof/>
          <w:szCs w:val="24"/>
        </w:rPr>
        <w:t xml:space="preserve">iz prethodnog razdoblja utvrđenim u financijskim izvještajima </w:t>
      </w:r>
      <w:r w:rsidR="00675D9D" w:rsidRPr="00DE56BC">
        <w:rPr>
          <w:rFonts w:ascii="Times New Roman" w:hAnsi="Times New Roman"/>
          <w:bCs/>
          <w:noProof/>
          <w:szCs w:val="24"/>
        </w:rPr>
        <w:t>proračuna i proračunskih korisnika</w:t>
      </w:r>
      <w:r w:rsidR="000C74CB">
        <w:rPr>
          <w:rFonts w:ascii="Times New Roman" w:hAnsi="Times New Roman"/>
          <w:bCs/>
          <w:noProof/>
          <w:szCs w:val="24"/>
        </w:rPr>
        <w:t xml:space="preserve"> u iznosu</w:t>
      </w:r>
      <w:r w:rsidR="00313C67">
        <w:rPr>
          <w:rFonts w:ascii="Times New Roman" w:hAnsi="Times New Roman"/>
          <w:bCs/>
          <w:noProof/>
          <w:szCs w:val="24"/>
        </w:rPr>
        <w:t xml:space="preserve"> od 533.257,74 eura</w:t>
      </w:r>
      <w:r w:rsidR="00955B4D" w:rsidRPr="00DE56BC">
        <w:rPr>
          <w:rFonts w:ascii="Times New Roman" w:hAnsi="Times New Roman"/>
          <w:bCs/>
          <w:noProof/>
          <w:szCs w:val="24"/>
        </w:rPr>
        <w:t xml:space="preserve">, manjak za pokrivanje u budućem razdoblju iznosi </w:t>
      </w:r>
      <w:r w:rsidR="00955B4D">
        <w:rPr>
          <w:rFonts w:ascii="Times New Roman" w:hAnsi="Times New Roman"/>
          <w:bCs/>
          <w:noProof/>
          <w:szCs w:val="24"/>
        </w:rPr>
        <w:t>6.178.240,23</w:t>
      </w:r>
      <w:r w:rsidR="00955B4D" w:rsidRPr="00DE56BC">
        <w:rPr>
          <w:rFonts w:ascii="Times New Roman" w:hAnsi="Times New Roman"/>
          <w:bCs/>
          <w:noProof/>
          <w:szCs w:val="24"/>
        </w:rPr>
        <w:t xml:space="preserve"> </w:t>
      </w:r>
      <w:r w:rsidR="00313C67">
        <w:rPr>
          <w:rFonts w:ascii="Times New Roman" w:hAnsi="Times New Roman"/>
          <w:bCs/>
          <w:noProof/>
          <w:szCs w:val="24"/>
        </w:rPr>
        <w:t>eura</w:t>
      </w:r>
      <w:r w:rsidR="00955B4D" w:rsidRPr="00DE56BC">
        <w:rPr>
          <w:rFonts w:ascii="Times New Roman" w:hAnsi="Times New Roman"/>
          <w:bCs/>
          <w:noProof/>
          <w:szCs w:val="24"/>
        </w:rPr>
        <w:t xml:space="preserve">. </w:t>
      </w:r>
    </w:p>
    <w:p w14:paraId="14D81B26" w14:textId="43A07E23" w:rsidR="00CD5A79" w:rsidRDefault="00CD5A79" w:rsidP="002A70FC">
      <w:pPr>
        <w:shd w:val="clear" w:color="auto" w:fill="FFFFFF" w:themeFill="background1"/>
        <w:tabs>
          <w:tab w:val="left" w:pos="1276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</w:p>
    <w:p w14:paraId="04D6B99C" w14:textId="77777777" w:rsidR="00313C67" w:rsidRDefault="00313C67" w:rsidP="002A70FC">
      <w:pPr>
        <w:shd w:val="clear" w:color="auto" w:fill="FFFFFF" w:themeFill="background1"/>
        <w:tabs>
          <w:tab w:val="left" w:pos="1276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</w:p>
    <w:p w14:paraId="2A77BDD1" w14:textId="77777777" w:rsidR="00313C67" w:rsidRDefault="00313C67" w:rsidP="002A70FC">
      <w:pPr>
        <w:shd w:val="clear" w:color="auto" w:fill="FFFFFF" w:themeFill="background1"/>
        <w:tabs>
          <w:tab w:val="left" w:pos="1276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</w:p>
    <w:p w14:paraId="41962B97" w14:textId="6D13E02E" w:rsidR="00A542B9" w:rsidRPr="007007E2" w:rsidRDefault="0021133A" w:rsidP="0021133A">
      <w:pPr>
        <w:shd w:val="clear" w:color="auto" w:fill="FFFFFF" w:themeFill="background1"/>
        <w:tabs>
          <w:tab w:val="left" w:pos="1276"/>
        </w:tabs>
        <w:spacing w:line="360" w:lineRule="auto"/>
        <w:jc w:val="center"/>
        <w:rPr>
          <w:rFonts w:ascii="Times New Roman" w:hAnsi="Times New Roman"/>
          <w:b/>
          <w:bCs/>
          <w:noProof/>
          <w:sz w:val="22"/>
          <w:szCs w:val="22"/>
        </w:rPr>
      </w:pPr>
      <w:r w:rsidRPr="007007E2">
        <w:rPr>
          <w:rFonts w:ascii="Times New Roman" w:hAnsi="Times New Roman"/>
          <w:b/>
          <w:bCs/>
          <w:noProof/>
          <w:sz w:val="22"/>
          <w:szCs w:val="22"/>
        </w:rPr>
        <w:t xml:space="preserve">Prikaz </w:t>
      </w:r>
      <w:r w:rsidR="00AB406E">
        <w:rPr>
          <w:rFonts w:ascii="Times New Roman" w:hAnsi="Times New Roman"/>
          <w:b/>
          <w:bCs/>
          <w:noProof/>
          <w:sz w:val="22"/>
          <w:szCs w:val="22"/>
        </w:rPr>
        <w:t>polugodišnjeg izvršenja</w:t>
      </w:r>
      <w:r w:rsidRPr="007007E2">
        <w:rPr>
          <w:rFonts w:ascii="Times New Roman" w:hAnsi="Times New Roman"/>
          <w:b/>
          <w:bCs/>
          <w:noProof/>
          <w:sz w:val="22"/>
          <w:szCs w:val="22"/>
        </w:rPr>
        <w:t xml:space="preserve"> </w:t>
      </w:r>
      <w:r w:rsidR="00435678">
        <w:rPr>
          <w:rFonts w:ascii="Times New Roman" w:hAnsi="Times New Roman"/>
          <w:b/>
          <w:bCs/>
          <w:noProof/>
          <w:sz w:val="22"/>
          <w:szCs w:val="22"/>
        </w:rPr>
        <w:t>P</w:t>
      </w:r>
      <w:r w:rsidRPr="007007E2">
        <w:rPr>
          <w:rFonts w:ascii="Times New Roman" w:hAnsi="Times New Roman"/>
          <w:b/>
          <w:bCs/>
          <w:noProof/>
          <w:sz w:val="22"/>
          <w:szCs w:val="22"/>
        </w:rPr>
        <w:t>roračuna Bjelovarsko-bilogorske županije</w:t>
      </w:r>
      <w:r w:rsidR="002178BB" w:rsidRPr="007007E2">
        <w:rPr>
          <w:rFonts w:ascii="Times New Roman" w:hAnsi="Times New Roman"/>
          <w:b/>
          <w:bCs/>
          <w:noProof/>
          <w:sz w:val="22"/>
          <w:szCs w:val="22"/>
        </w:rPr>
        <w:t xml:space="preserve"> za 202</w:t>
      </w:r>
      <w:r w:rsidR="00AB406E">
        <w:rPr>
          <w:rFonts w:ascii="Times New Roman" w:hAnsi="Times New Roman"/>
          <w:b/>
          <w:bCs/>
          <w:noProof/>
          <w:sz w:val="22"/>
          <w:szCs w:val="22"/>
        </w:rPr>
        <w:t>5</w:t>
      </w:r>
      <w:r w:rsidR="002178BB" w:rsidRPr="007007E2">
        <w:rPr>
          <w:rFonts w:ascii="Times New Roman" w:hAnsi="Times New Roman"/>
          <w:b/>
          <w:bCs/>
          <w:noProof/>
          <w:sz w:val="22"/>
          <w:szCs w:val="22"/>
        </w:rPr>
        <w:t>. godinu</w:t>
      </w:r>
    </w:p>
    <w:p w14:paraId="39130ED5" w14:textId="3E7DB9D5" w:rsidR="00CD5A79" w:rsidRPr="00876C33" w:rsidRDefault="00876C33" w:rsidP="00CD5A79">
      <w:pPr>
        <w:pStyle w:val="NoSpacing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</w:pPr>
      <w:r w:rsidRPr="00876C33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  <w:t>Tablica 1.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984"/>
        <w:gridCol w:w="1843"/>
        <w:gridCol w:w="992"/>
      </w:tblGrid>
      <w:tr w:rsidR="00CD5A79" w:rsidRPr="00CF3F0A" w14:paraId="2C90BE20" w14:textId="77777777" w:rsidTr="00313C67">
        <w:trPr>
          <w:trHeight w:val="25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B2CC617" w14:textId="77777777" w:rsidR="00CD5A79" w:rsidRPr="00E47187" w:rsidRDefault="00CD5A79" w:rsidP="00E47187">
            <w:pPr>
              <w:ind w:firstLineChars="100" w:firstLine="18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FB8297C" w14:textId="1A63E7BF" w:rsidR="00CD5A79" w:rsidRPr="00E47187" w:rsidRDefault="00313C67" w:rsidP="00E47187">
            <w:pPr>
              <w:ind w:firstLineChars="100" w:firstLine="181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Izvorni plan 2025.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71C5EAE" w14:textId="70240443" w:rsidR="00CD5A79" w:rsidRPr="00E47187" w:rsidRDefault="00CD5A79" w:rsidP="00E47187">
            <w:pPr>
              <w:ind w:firstLineChars="100" w:firstLine="181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Tekući plan 202</w:t>
            </w:r>
            <w:r w:rsidR="00313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E471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668EA96" w14:textId="18742DAE" w:rsidR="00CD5A79" w:rsidRPr="00E47187" w:rsidRDefault="00B67A53" w:rsidP="00B67A53">
            <w:pPr>
              <w:ind w:leftChars="-42" w:left="-99" w:hangingChars="1" w:hanging="2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Izvršenje</w:t>
            </w:r>
            <w:r w:rsidR="00CD5A79"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</w:t>
            </w:r>
            <w:r w:rsidR="00313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  <w:r w:rsidR="00CD5A79"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</w:t>
            </w:r>
            <w:r w:rsidR="00313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  <w:r w:rsidR="00CD5A79"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.202</w:t>
            </w:r>
            <w:r w:rsidR="00313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CD5A79"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1FC713B" w14:textId="32CD6643" w:rsidR="00CD5A79" w:rsidRPr="00E47187" w:rsidRDefault="00B67A53" w:rsidP="007F7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67A5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Indeks (4./3.)</w:t>
            </w:r>
          </w:p>
        </w:tc>
      </w:tr>
      <w:tr w:rsidR="00B67A53" w:rsidRPr="0049066E" w14:paraId="2C5048B4" w14:textId="77777777" w:rsidTr="00313C67">
        <w:trPr>
          <w:trHeight w:val="189"/>
        </w:trPr>
        <w:tc>
          <w:tcPr>
            <w:tcW w:w="2835" w:type="dxa"/>
            <w:shd w:val="clear" w:color="000000" w:fill="FFFFFF"/>
            <w:vAlign w:val="center"/>
          </w:tcPr>
          <w:p w14:paraId="7F531FE2" w14:textId="36EB0096" w:rsidR="00B67A53" w:rsidRPr="00E47187" w:rsidRDefault="00B67A53" w:rsidP="00876C33">
            <w:pPr>
              <w:ind w:firstLineChars="100" w:firstLine="10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47187">
              <w:rPr>
                <w:rFonts w:ascii="Times New Roman" w:hAnsi="Times New Roman"/>
                <w:color w:val="000000"/>
                <w:sz w:val="10"/>
                <w:szCs w:val="10"/>
              </w:rPr>
              <w:t>1</w:t>
            </w:r>
            <w:r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2FB1DA2" w14:textId="70825381" w:rsidR="00B67A53" w:rsidRPr="00E47187" w:rsidRDefault="00B67A53" w:rsidP="00B67A53">
            <w:pPr>
              <w:ind w:firstLineChars="100" w:firstLine="10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47187">
              <w:rPr>
                <w:rFonts w:ascii="Times New Roman" w:hAnsi="Times New Roman"/>
                <w:color w:val="000000"/>
                <w:sz w:val="10"/>
                <w:szCs w:val="10"/>
              </w:rPr>
              <w:t>2</w:t>
            </w:r>
            <w:r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6ACA57E" w14:textId="52CA73F9" w:rsidR="00B67A53" w:rsidRPr="00E47187" w:rsidRDefault="00B67A53" w:rsidP="00B67A53">
            <w:pPr>
              <w:ind w:firstLineChars="100" w:firstLine="10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3.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855C438" w14:textId="3BCFF7E4" w:rsidR="00B67A53" w:rsidRPr="00E47187" w:rsidRDefault="00B67A53" w:rsidP="00B67A53">
            <w:pPr>
              <w:ind w:firstLineChars="100" w:firstLine="10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47187">
              <w:rPr>
                <w:rFonts w:ascii="Times New Roman" w:hAnsi="Times New Roman"/>
                <w:color w:val="000000"/>
                <w:sz w:val="10"/>
                <w:szCs w:val="10"/>
              </w:rPr>
              <w:t>4</w:t>
            </w:r>
            <w:r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D554BF8" w14:textId="3465B6E7" w:rsidR="00B67A53" w:rsidRPr="00E47187" w:rsidRDefault="00B67A53" w:rsidP="00313C67">
            <w:pPr>
              <w:ind w:firstLineChars="100" w:firstLine="10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47187">
              <w:rPr>
                <w:rFonts w:ascii="Times New Roman" w:hAnsi="Times New Roman"/>
                <w:color w:val="000000"/>
                <w:sz w:val="10"/>
                <w:szCs w:val="10"/>
              </w:rPr>
              <w:t>5</w:t>
            </w:r>
            <w:r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</w:tr>
      <w:tr w:rsidR="00313C67" w:rsidRPr="0049066E" w14:paraId="4CC2FCC6" w14:textId="77777777" w:rsidTr="00043F32">
        <w:trPr>
          <w:trHeight w:val="330"/>
        </w:trPr>
        <w:tc>
          <w:tcPr>
            <w:tcW w:w="2835" w:type="dxa"/>
            <w:shd w:val="clear" w:color="000000" w:fill="FFFFFF"/>
            <w:vAlign w:val="center"/>
          </w:tcPr>
          <w:p w14:paraId="47DA955C" w14:textId="00C67F71" w:rsidR="00313C67" w:rsidRPr="003A4F1C" w:rsidRDefault="00313C67" w:rsidP="00313C67">
            <w:pPr>
              <w:ind w:firstLineChars="100" w:firstLine="18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PRIHODI I PRIMICI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7A0CC0E" w14:textId="4847CD24" w:rsidR="00313C67" w:rsidRPr="003A4F1C" w:rsidRDefault="00313C67" w:rsidP="00313C67">
            <w:pPr>
              <w:ind w:firstLineChars="100" w:firstLine="18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124.609.493,00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5EC1028F" w14:textId="0595B42D" w:rsidR="00313C67" w:rsidRPr="003A4F1C" w:rsidRDefault="00313C67" w:rsidP="00313C67">
            <w:pPr>
              <w:ind w:firstLineChars="100" w:firstLine="18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124.609.493,00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D8C211C" w14:textId="5B2DCA82" w:rsidR="00313C67" w:rsidRPr="003A4F1C" w:rsidRDefault="00313C67" w:rsidP="00313C67">
            <w:pPr>
              <w:ind w:firstLineChars="100" w:firstLine="18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54.098.885,45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3DEFDFE" w14:textId="06BEC4DB" w:rsidR="00313C67" w:rsidRPr="003A4F1C" w:rsidRDefault="00313C67" w:rsidP="00313C67">
            <w:pPr>
              <w:ind w:firstLineChars="100" w:firstLine="18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43,41</w:t>
            </w:r>
          </w:p>
        </w:tc>
      </w:tr>
      <w:tr w:rsidR="00313C67" w:rsidRPr="0049066E" w14:paraId="60882F02" w14:textId="77777777" w:rsidTr="00043F32">
        <w:trPr>
          <w:trHeight w:val="277"/>
        </w:trPr>
        <w:tc>
          <w:tcPr>
            <w:tcW w:w="2835" w:type="dxa"/>
            <w:shd w:val="clear" w:color="000000" w:fill="FFFFFF"/>
            <w:vAlign w:val="center"/>
          </w:tcPr>
          <w:p w14:paraId="6F680960" w14:textId="159F3650" w:rsidR="00313C67" w:rsidRPr="003A4F1C" w:rsidRDefault="00313C67" w:rsidP="00313C67">
            <w:pPr>
              <w:ind w:firstLineChars="100" w:firstLine="18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RASHODI I IZDACI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53C92BA" w14:textId="1C04F21B" w:rsidR="00313C67" w:rsidRPr="003A4F1C" w:rsidRDefault="00313C67" w:rsidP="00313C67">
            <w:pPr>
              <w:ind w:firstLineChars="100" w:firstLine="18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127.852.697,00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FD59DF1" w14:textId="04C8BC3F" w:rsidR="00313C67" w:rsidRPr="003A4F1C" w:rsidRDefault="00313C67" w:rsidP="00313C67">
            <w:pPr>
              <w:ind w:firstLineChars="100" w:firstLine="18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127.852.697,00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119257B" w14:textId="23EA6679" w:rsidR="00313C67" w:rsidRPr="003A4F1C" w:rsidRDefault="00313C67" w:rsidP="00313C67">
            <w:pPr>
              <w:ind w:firstLineChars="100" w:firstLine="18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60.810.383,42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CBFAE21" w14:textId="726A0286" w:rsidR="00313C67" w:rsidRPr="003A4F1C" w:rsidRDefault="00313C67" w:rsidP="00313C67">
            <w:pPr>
              <w:ind w:firstLineChars="100" w:firstLine="18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4F1C">
              <w:rPr>
                <w:rFonts w:ascii="Times New Roman" w:hAnsi="Times New Roman"/>
                <w:color w:val="000000"/>
                <w:sz w:val="18"/>
                <w:szCs w:val="18"/>
              </w:rPr>
              <w:t>47,56</w:t>
            </w:r>
          </w:p>
        </w:tc>
      </w:tr>
      <w:tr w:rsidR="00313C67" w:rsidRPr="0049066E" w14:paraId="786898E5" w14:textId="77777777" w:rsidTr="007A5509">
        <w:trPr>
          <w:trHeight w:val="281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38045DA" w14:textId="6FCC5DD0" w:rsidR="00313C67" w:rsidRPr="00313C67" w:rsidRDefault="00313C67" w:rsidP="00313C67">
            <w:pPr>
              <w:ind w:firstLineChars="100" w:firstLine="181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13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RAZLIKA - VIŠAK/MANJAK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B04AC23" w14:textId="76D7BAB9" w:rsidR="00313C67" w:rsidRPr="00313C67" w:rsidRDefault="00313C67" w:rsidP="00313C67">
            <w:pPr>
              <w:ind w:firstLineChars="100" w:firstLine="181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13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-3.243.204,00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D4CA2CB" w14:textId="4D2348C9" w:rsidR="00313C67" w:rsidRPr="00313C67" w:rsidRDefault="00313C67" w:rsidP="00313C67">
            <w:pPr>
              <w:ind w:firstLineChars="100" w:firstLine="181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13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-3.243.204,00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00E04AF" w14:textId="5DAC3157" w:rsidR="00313C67" w:rsidRPr="00313C67" w:rsidRDefault="00313C67" w:rsidP="00313C67">
            <w:pPr>
              <w:ind w:firstLineChars="100" w:firstLine="181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13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-6.711.497,97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4D69D98" w14:textId="31EDCD25" w:rsidR="00313C67" w:rsidRPr="00313C67" w:rsidRDefault="00313C67" w:rsidP="00313C67">
            <w:pPr>
              <w:ind w:firstLineChars="100" w:firstLine="181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13C6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206,94</w:t>
            </w:r>
          </w:p>
        </w:tc>
      </w:tr>
    </w:tbl>
    <w:p w14:paraId="5FBE90BC" w14:textId="77777777" w:rsidR="0021133A" w:rsidRDefault="0021133A" w:rsidP="0021133A">
      <w:pPr>
        <w:shd w:val="clear" w:color="auto" w:fill="FFFFFF" w:themeFill="background1"/>
        <w:tabs>
          <w:tab w:val="left" w:pos="1276"/>
        </w:tabs>
        <w:spacing w:line="360" w:lineRule="auto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14:paraId="240083E8" w14:textId="768DDE76" w:rsidR="00CD3DD9" w:rsidRPr="00850008" w:rsidRDefault="00850008" w:rsidP="00850008">
      <w:pPr>
        <w:shd w:val="clear" w:color="auto" w:fill="FFFFFF" w:themeFill="background1"/>
        <w:tabs>
          <w:tab w:val="left" w:pos="426"/>
        </w:tabs>
        <w:spacing w:line="360" w:lineRule="auto"/>
        <w:rPr>
          <w:rFonts w:ascii="Times New Roman" w:hAnsi="Times New Roman"/>
          <w:b/>
          <w:bCs/>
          <w:noProof/>
          <w:szCs w:val="24"/>
        </w:rPr>
      </w:pPr>
      <w:r>
        <w:rPr>
          <w:rFonts w:ascii="Times New Roman" w:hAnsi="Times New Roman"/>
          <w:b/>
          <w:bCs/>
          <w:noProof/>
          <w:sz w:val="16"/>
          <w:szCs w:val="16"/>
        </w:rPr>
        <w:tab/>
      </w:r>
      <w:r w:rsidR="00CD3DD9" w:rsidRPr="00850008">
        <w:rPr>
          <w:rFonts w:ascii="Times New Roman" w:hAnsi="Times New Roman"/>
          <w:b/>
          <w:bCs/>
          <w:noProof/>
          <w:sz w:val="22"/>
          <w:szCs w:val="22"/>
        </w:rPr>
        <w:t xml:space="preserve">Pregled strukture manjka/viška po </w:t>
      </w:r>
      <w:r w:rsidRPr="00850008">
        <w:rPr>
          <w:rFonts w:ascii="Times New Roman" w:hAnsi="Times New Roman"/>
          <w:b/>
          <w:bCs/>
          <w:noProof/>
          <w:sz w:val="22"/>
          <w:szCs w:val="22"/>
        </w:rPr>
        <w:t>proračunskim korisnicima za razdoblje od 01.01. do 30.06.2025. godine</w:t>
      </w:r>
    </w:p>
    <w:p w14:paraId="488B4E07" w14:textId="7D81E172" w:rsidR="00850008" w:rsidRPr="00876C33" w:rsidRDefault="00850008" w:rsidP="00850008">
      <w:pPr>
        <w:pStyle w:val="NoSpacing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</w:pPr>
      <w:r w:rsidRPr="00876C33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  <w:t xml:space="preserve">Tablica </w:t>
      </w:r>
      <w:r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  <w:t>2</w:t>
      </w:r>
      <w:r w:rsidRPr="00876C33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  <w:t>.</w:t>
      </w:r>
    </w:p>
    <w:tbl>
      <w:tblPr>
        <w:tblW w:w="9493" w:type="dxa"/>
        <w:tblInd w:w="137" w:type="dxa"/>
        <w:tblLook w:val="04A0" w:firstRow="1" w:lastRow="0" w:firstColumn="1" w:lastColumn="0" w:noHBand="0" w:noVBand="1"/>
      </w:tblPr>
      <w:tblGrid>
        <w:gridCol w:w="562"/>
        <w:gridCol w:w="4820"/>
        <w:gridCol w:w="1984"/>
        <w:gridCol w:w="2127"/>
      </w:tblGrid>
      <w:tr w:rsidR="00CD3DD9" w:rsidRPr="00AB406E" w14:paraId="32A523A5" w14:textId="77777777" w:rsidTr="00850008">
        <w:trPr>
          <w:trHeight w:val="4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161923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406E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CF071E" w14:textId="518AA1DB" w:rsidR="00CD3DD9" w:rsidRPr="00AB406E" w:rsidRDefault="000825E0" w:rsidP="00BA270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75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BBŽ i proračunski korisnici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50D49A" w14:textId="36519690" w:rsidR="00CD3DD9" w:rsidRPr="00AB406E" w:rsidRDefault="00850008" w:rsidP="00BA270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Višak na dan</w:t>
            </w:r>
            <w:r w:rsidR="00CD3DD9" w:rsidRPr="00AB406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30.06.2025.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F900EB" w14:textId="45E2CD25" w:rsidR="00CD3DD9" w:rsidRPr="00AB406E" w:rsidRDefault="00CD3DD9" w:rsidP="00BA270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406E">
              <w:rPr>
                <w:rFonts w:ascii="Times New Roman" w:hAnsi="Times New Roman"/>
                <w:b/>
                <w:bCs/>
                <w:sz w:val="18"/>
                <w:szCs w:val="18"/>
              </w:rPr>
              <w:t>M</w:t>
            </w:r>
            <w:r w:rsidR="00850008">
              <w:rPr>
                <w:rFonts w:ascii="Times New Roman" w:hAnsi="Times New Roman"/>
                <w:b/>
                <w:bCs/>
                <w:sz w:val="18"/>
                <w:szCs w:val="18"/>
              </w:rPr>
              <w:t>anjak na dan</w:t>
            </w:r>
            <w:r w:rsidRPr="00AB406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30.06.2025.</w:t>
            </w:r>
          </w:p>
        </w:tc>
      </w:tr>
      <w:tr w:rsidR="00CD3DD9" w:rsidRPr="00AB406E" w14:paraId="7A69AE59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5368E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1A8F3F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BJELOVARSKO BILOGORSKA ŽUPANIJA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63D6E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1.129.645,95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F5AC3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D3DD9" w:rsidRPr="00AB406E" w14:paraId="72F0EFF8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27F6C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EF2C13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GIMNAZIJA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AA693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18.100,74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52ECB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D3DD9" w:rsidRPr="00AB406E" w14:paraId="028CD495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2EF36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0FB6AB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MEDICINSKA ŠKOLA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FA5F9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F11DB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98.925,60</w:t>
            </w:r>
          </w:p>
        </w:tc>
      </w:tr>
      <w:tr w:rsidR="00CD3DD9" w:rsidRPr="00AB406E" w14:paraId="64574587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3F952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40AA8A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KOMERCIJALNA I TRGOVAČKA ŠKOLA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B4254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C745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44.716,21</w:t>
            </w:r>
          </w:p>
        </w:tc>
      </w:tr>
      <w:tr w:rsidR="00CD3DD9" w:rsidRPr="00AB406E" w14:paraId="0374A7FA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340C9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A91259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TURISTIČKO-UGOSTITELJSKA I PREHRAMBENA ŠKOLA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1A41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018CF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79.428,14</w:t>
            </w:r>
          </w:p>
        </w:tc>
      </w:tr>
      <w:tr w:rsidR="00CD3DD9" w:rsidRPr="00AB406E" w14:paraId="4C4A321E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CCF14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810104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EKONOMSKA I BIROTEHNIČKA ŠKOLA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0CC9F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6C54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111.018,85</w:t>
            </w:r>
          </w:p>
        </w:tc>
      </w:tr>
      <w:tr w:rsidR="00CD3DD9" w:rsidRPr="00AB406E" w14:paraId="621B2F32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18B21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34FD8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TEHNIČKA ŠKOLA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B1006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28814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301.412,37</w:t>
            </w:r>
          </w:p>
        </w:tc>
      </w:tr>
      <w:tr w:rsidR="00CD3DD9" w:rsidRPr="00AB406E" w14:paraId="3848985D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E7964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B3BE35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OBRTNIČKA ŠKOLA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4B8AA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D418D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65.447,97</w:t>
            </w:r>
          </w:p>
        </w:tc>
      </w:tr>
      <w:tr w:rsidR="00CD3DD9" w:rsidRPr="00AB406E" w14:paraId="54B58771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9EEF7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216900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GLAZBENA ŠKOLA VATROSLAVA LISINSKOG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5F4B9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A413C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79.275,48</w:t>
            </w:r>
          </w:p>
        </w:tc>
      </w:tr>
      <w:tr w:rsidR="00CD3DD9" w:rsidRPr="00AB406E" w14:paraId="3E4FEC29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9E293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160A27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DOM UČENIKA SREDNJIH ŠKOLA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05176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253.832,21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1E6CB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D3DD9" w:rsidRPr="00AB406E" w14:paraId="5C3F8F8D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3C8D3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DBF7A8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SREDNJA ŠKOLA ČAZMA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8B9ED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1A764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83.950,75</w:t>
            </w:r>
          </w:p>
        </w:tc>
      </w:tr>
      <w:tr w:rsidR="00CD3DD9" w:rsidRPr="00AB406E" w14:paraId="708F2337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3078A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50184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GIMNAZIJA DARUVAR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7EA44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2E6DB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65.268,16</w:t>
            </w:r>
          </w:p>
        </w:tc>
      </w:tr>
      <w:tr w:rsidR="00CD3DD9" w:rsidRPr="00AB406E" w14:paraId="79CA4488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6F602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587C79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TEHNIČKA ŠKOLA DARUVAR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C0E51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E0388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178.124,47</w:t>
            </w:r>
          </w:p>
        </w:tc>
      </w:tr>
      <w:tr w:rsidR="00CD3DD9" w:rsidRPr="00AB406E" w14:paraId="5A14D9A7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40439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12F16D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EKONOMSKA I TURISTIČKA ŠKOLA DARUVAR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49999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5427E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85.715,47</w:t>
            </w:r>
          </w:p>
        </w:tc>
      </w:tr>
      <w:tr w:rsidR="00CD3DD9" w:rsidRPr="00AB406E" w14:paraId="2A4DED22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EBB80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9C038E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SREDNJA ŠKOLA "AUGUST ŠENOA" GAREŠNICA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1215A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9271A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148.461,25</w:t>
            </w:r>
          </w:p>
        </w:tc>
      </w:tr>
      <w:tr w:rsidR="00CD3DD9" w:rsidRPr="00AB406E" w14:paraId="45576508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EFF48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E41D09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SREDNJA ŠKOLA BARTOLA KAŠIĆA GRUBIŠNO POLJE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ABEBC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3EB51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70.943,41</w:t>
            </w:r>
          </w:p>
        </w:tc>
      </w:tr>
      <w:tr w:rsidR="00CD3DD9" w:rsidRPr="00AB406E" w14:paraId="47F2E403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BBF3E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749779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GLAZBENA ŠKOLA BRUNE BJELINSKOG DARUVAR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3D0A7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15.982,95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86C6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D3DD9" w:rsidRPr="00AB406E" w14:paraId="0F8533D1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21D08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C0A2DB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IVANA VITEZA TRNSKOG NOVA RAČA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49B6E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B85B5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261.027,74</w:t>
            </w:r>
          </w:p>
        </w:tc>
      </w:tr>
      <w:tr w:rsidR="00CD3DD9" w:rsidRPr="00AB406E" w14:paraId="706A303D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1A236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589775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ROVIŠĆE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732ED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99C9D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226.303,18</w:t>
            </w:r>
          </w:p>
        </w:tc>
      </w:tr>
      <w:tr w:rsidR="00CD3DD9" w:rsidRPr="00AB406E" w14:paraId="77B6E3CA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98215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902517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VELIKA PISANICA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BA57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6C1D5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145.974,83</w:t>
            </w:r>
          </w:p>
        </w:tc>
      </w:tr>
      <w:tr w:rsidR="00CD3DD9" w:rsidRPr="00AB406E" w14:paraId="63BAE692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DC44E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70AAFE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VELIKO TROJSTVO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CB721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A333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136.191,19</w:t>
            </w:r>
          </w:p>
        </w:tc>
      </w:tr>
      <w:tr w:rsidR="00CD3DD9" w:rsidRPr="00AB406E" w14:paraId="5127A18F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C4DFA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B8289F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IVANSKA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B0319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2BDC9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70.025,12</w:t>
            </w:r>
          </w:p>
        </w:tc>
      </w:tr>
      <w:tr w:rsidR="00CD3DD9" w:rsidRPr="00AB406E" w14:paraId="461FBBF1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DC71C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7C670C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ŠTEFANJE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A042A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E79B5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57.800,08</w:t>
            </w:r>
          </w:p>
        </w:tc>
      </w:tr>
      <w:tr w:rsidR="00CD3DD9" w:rsidRPr="00AB406E" w14:paraId="45EEF938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9E651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859322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VLADIMIRA NAZORA DARUVAR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A53CC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D87C8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195.335,17</w:t>
            </w:r>
          </w:p>
        </w:tc>
      </w:tr>
      <w:tr w:rsidR="00CD3DD9" w:rsidRPr="00AB406E" w14:paraId="638D64DA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BB2F4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6D4423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ČEŠKA OSNOVNA ŠKOLA JANA AMOSA KOMENSKOG DARUVAR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BB22F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47.789,82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F62C8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D3DD9" w:rsidRPr="00AB406E" w14:paraId="078A0220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2E300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AB4EBD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DEŽANOVAC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89D66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B2BBE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61.355,87</w:t>
            </w:r>
          </w:p>
        </w:tc>
      </w:tr>
      <w:tr w:rsidR="00CD3DD9" w:rsidRPr="00AB406E" w14:paraId="0593E14E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040E4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65EAB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U ĐULOVCU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A98EB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93E3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80.827,06</w:t>
            </w:r>
          </w:p>
        </w:tc>
      </w:tr>
      <w:tr w:rsidR="00CD3DD9" w:rsidRPr="00AB406E" w14:paraId="358AB7D1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71859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ADCBD8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ČEŠKA OSNOVNA ŠKOLA JOSIPA RUŽIČKE KONČANICA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2228B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3F8C0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54.545,51</w:t>
            </w:r>
          </w:p>
        </w:tc>
      </w:tr>
      <w:tr w:rsidR="00CD3DD9" w:rsidRPr="00AB406E" w14:paraId="466FA405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A8D24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lastRenderedPageBreak/>
              <w:t>29.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C56B1C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SIRAČ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ABA29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47816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67.521,90</w:t>
            </w:r>
          </w:p>
        </w:tc>
      </w:tr>
      <w:tr w:rsidR="00CD3DD9" w:rsidRPr="00AB406E" w14:paraId="0EB9EDD4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4229B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E05ABF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BEREK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5FAF9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9F508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2.767,39</w:t>
            </w:r>
          </w:p>
        </w:tc>
      </w:tr>
      <w:tr w:rsidR="00CD3DD9" w:rsidRPr="00AB406E" w14:paraId="7E599CAE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5A128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64256B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SLAVKA KOLARA HERCEGOVAC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C41F4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AFD70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65.948,25</w:t>
            </w:r>
          </w:p>
        </w:tc>
      </w:tr>
      <w:tr w:rsidR="00CD3DD9" w:rsidRPr="00AB406E" w14:paraId="7C416EC2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CCE19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DB7DE9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TRNOVITICA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A0B8B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42.554,08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99A4F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D3DD9" w:rsidRPr="00AB406E" w14:paraId="22D4E882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3132A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433ADB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MATE LOVRAKA VELIKI GRĐEVAC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59C2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37D27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107.332,59</w:t>
            </w:r>
          </w:p>
        </w:tc>
      </w:tr>
      <w:tr w:rsidR="00CD3DD9" w:rsidRPr="00AB406E" w14:paraId="5C9B46EA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88490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327123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OSNOVNA ŠKOLA MIRKA PEREŠA KAPELA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B29FA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622A0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91.094,57</w:t>
            </w:r>
          </w:p>
        </w:tc>
      </w:tr>
      <w:tr w:rsidR="00CD3DD9" w:rsidRPr="00AB406E" w14:paraId="30ADEE85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C6356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35.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7BBC66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SPECIJALNA BOLNICA ZA MEDICINSKU REHABILITACIJU DARUVARSKE TOPLICE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76CF3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100.007,65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B5C3A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D3DD9" w:rsidRPr="00AB406E" w14:paraId="7E5D6130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428CE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36.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BE1B11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DOM ZDRAVLJA BJELOVARSKO-BILOGORSKE ŽUPANIJE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0FF71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46898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4.187.573,41</w:t>
            </w:r>
          </w:p>
        </w:tc>
      </w:tr>
      <w:tr w:rsidR="00CD3DD9" w:rsidRPr="00AB406E" w14:paraId="7B8A1AEA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663B3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37.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0BAE34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ZAVOD ZA JAVNO ZDRAVSTVO BJELOVARSKO-BILOGORSKE ŽUPANIJE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6FB79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A3118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769.608,69</w:t>
            </w:r>
          </w:p>
        </w:tc>
      </w:tr>
      <w:tr w:rsidR="00CD3DD9" w:rsidRPr="00AB406E" w14:paraId="6B779D1B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781DC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38.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7DC2B0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ZAVOD ZA HITNU MEDICINU BJELOVARSKO-BILOGORSKE ŽUPANIJE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2DE31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433.239,30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2A1D8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CD3DD9" w:rsidRPr="00AB406E" w14:paraId="2A8496B0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2F325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39.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C6B738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DOM ZA STARIJE I NEMOĆNE OSOBE BJELOVAR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FC4F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35D72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209.953,06</w:t>
            </w:r>
          </w:p>
        </w:tc>
      </w:tr>
      <w:tr w:rsidR="00CD3DD9" w:rsidRPr="00AB406E" w14:paraId="3BC32F2C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5A139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40.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56E5E4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ZAVOD ZA PROSTORNO UREĐENJE BJELOVARSKO-BILOGORSKE ŽUPANIJE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E4207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7FD74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1.723,57</w:t>
            </w:r>
          </w:p>
        </w:tc>
      </w:tr>
      <w:tr w:rsidR="00CD3DD9" w:rsidRPr="00AB406E" w14:paraId="541B10BA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57144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072613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JAVNA USTANOVA ZA UPRAVLJANJE ZAŠTIĆENIM PRIRODNIM VRIJEDNOSTIMA NA PODRUČJU BJELOVARSKO-BILOGORSKE ŽUPANIJE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CA813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8E6CD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3.500,18</w:t>
            </w:r>
          </w:p>
        </w:tc>
      </w:tr>
      <w:tr w:rsidR="00CD3DD9" w:rsidRPr="00AB406E" w14:paraId="197D4288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D89A3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75F26D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JAVNA USTANOVA RAZVOJNA AGENCIJA BJELOVARSKO-BILOGORSKE ŽUPANIJE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232FC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AE343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1.173,87</w:t>
            </w:r>
          </w:p>
        </w:tc>
      </w:tr>
      <w:tr w:rsidR="00CD3DD9" w:rsidRPr="00AB406E" w14:paraId="21372A60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E0FEE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43.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6603F7" w14:textId="77777777" w:rsidR="00CD3DD9" w:rsidRPr="00AB406E" w:rsidRDefault="00CD3DD9" w:rsidP="00BA270E">
            <w:pPr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KULTURNI CENTAR "MATO LOVRAK"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2E0CA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678DB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sz w:val="18"/>
                <w:szCs w:val="18"/>
              </w:rPr>
              <w:t>9.121,57</w:t>
            </w:r>
          </w:p>
        </w:tc>
      </w:tr>
      <w:tr w:rsidR="00CD3DD9" w:rsidRPr="00AB406E" w14:paraId="72ECF7AE" w14:textId="77777777" w:rsidTr="00850008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15CEC" w14:textId="77777777" w:rsidR="00CD3DD9" w:rsidRPr="00AB406E" w:rsidRDefault="00CD3DD9" w:rsidP="00BA270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369E7B" w14:textId="7FB32751" w:rsidR="00CD3DD9" w:rsidRPr="00AB406E" w:rsidRDefault="00870FB1" w:rsidP="00870FB1">
            <w:pPr>
              <w:ind w:firstLine="179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SVE</w:t>
            </w:r>
            <w:r w:rsidR="00CD3DD9" w:rsidRPr="00AB406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UKUPNO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6A98DF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2.041.152,70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7761BB" w14:textId="77777777" w:rsidR="00CD3DD9" w:rsidRPr="00AB406E" w:rsidRDefault="00CD3DD9" w:rsidP="00BA270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8.219.392,93</w:t>
            </w:r>
          </w:p>
        </w:tc>
      </w:tr>
      <w:tr w:rsidR="00CD3DD9" w:rsidRPr="00AB406E" w14:paraId="03827097" w14:textId="77777777" w:rsidTr="00CD3DD9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6C99F" w14:textId="77777777" w:rsidR="00CD3DD9" w:rsidRPr="00AB406E" w:rsidRDefault="00CD3DD9" w:rsidP="00BA270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B406E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D19288" w14:textId="67A4E90F" w:rsidR="00CD3DD9" w:rsidRPr="00AB406E" w:rsidRDefault="00870FB1" w:rsidP="00870FB1">
            <w:pPr>
              <w:ind w:left="179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MANJAK PRIHODA I PRIMITAKA ZA PROKRIĆE U SLJEDEĆEM RAZDOBLJU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EF46F7" w14:textId="77777777" w:rsidR="00CD3DD9" w:rsidRPr="00AB406E" w:rsidRDefault="00CD3DD9" w:rsidP="00BA270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406E">
              <w:rPr>
                <w:rFonts w:ascii="Times New Roman" w:hAnsi="Times New Roman"/>
                <w:b/>
                <w:bCs/>
                <w:sz w:val="18"/>
                <w:szCs w:val="18"/>
              </w:rPr>
              <w:t>-6.178.240,23</w:t>
            </w:r>
          </w:p>
        </w:tc>
      </w:tr>
    </w:tbl>
    <w:p w14:paraId="46AE593B" w14:textId="77777777" w:rsidR="00CD3DD9" w:rsidRPr="0049066E" w:rsidRDefault="00CD3DD9" w:rsidP="0021133A">
      <w:pPr>
        <w:shd w:val="clear" w:color="auto" w:fill="FFFFFF" w:themeFill="background1"/>
        <w:tabs>
          <w:tab w:val="left" w:pos="1276"/>
        </w:tabs>
        <w:spacing w:line="360" w:lineRule="auto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14:paraId="2CC36CC4" w14:textId="77777777" w:rsidR="00CD5A79" w:rsidRDefault="00CD5A79" w:rsidP="00B56A86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0C842A1" w14:textId="0C5DC8DD" w:rsidR="00B56A86" w:rsidRPr="00B56A86" w:rsidRDefault="00B56A86" w:rsidP="00523A2D">
      <w:pPr>
        <w:pStyle w:val="NoSpacing"/>
        <w:spacing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Ukupni manjak prihoda poslovanja kod B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jelovarsko-bilogorske županije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proračunskih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korisnika odnosi se najvećim dijelom na promjene u načinu iskazivanja rashoda za plaću za mjesec lipanj 2025. godine koji su se u prethodnim razdobljima iskazivali na kontu 193110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– Kontinuirani rashodi budućih razdoblja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Kod većih iskazanih manjkova prihoda poslovanja ostvareni su kod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Bjelovarsko-bilogorske županije 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koji se odnose na povećanje naknade za platni promet uslijed uvođenja jedinstvenog računa, povećanj</w:t>
      </w:r>
      <w:r w:rsid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rashoda za prijevoz u osnovnim školama te sufinanciranj</w:t>
      </w:r>
      <w:r w:rsid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prijevoza u sklopu javne usluge</w:t>
      </w:r>
      <w:r w:rsidR="00CF50D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a kod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proračunskih korisnika</w:t>
      </w:r>
      <w:r w:rsidR="00CF50D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iskazano je kod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Ekonomske i birotehničke škole Bjelovar i Tehničke škole Bjelovar za Erasmus+ projekt te kod zdravstvenih ustanova za rashode poslovanja za robu za daljnju prodaju u ljekarnama kao i za medicinski i potrošni materijal. Manjak prihoda od nefinancijske imovine kod B</w:t>
      </w:r>
      <w:r w:rsidR="00CF50D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jelovarsko-bilogorske županije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odnosi se na ulaganja u objekte i opremu ustanova u školstvu, zdravstvu i Domu za starije i nemoćne osobe Bjelovar te kod većih iskazanih manjkova prihoda od nefinancijske imovine</w:t>
      </w:r>
      <w:r w:rsidR="00CF50D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kod proračunskih korisnika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ostvareno je kod Tehničke škole Bjelovar za energetsku obnovu škole, OŠ V. Nazora Daruvar za nabavu nefinancijske imovine koja je kupljena iz sredstava Erasmus projekta, Grada Daruvara i vlastitih sredstava, Zavoda za javno zdravstvo </w:t>
      </w:r>
      <w:r w:rsidR="00CF50D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Bjelovarsko-bilogorske županije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za nabavu uređaja za kontrolu kvalitete zraka na području Bjelovarsko-bilogorske županije te sanaciju i rekonstrukciju podrumskih prostorija Zavoda</w:t>
      </w:r>
      <w:r w:rsid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435678"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 javno zdravstvo </w:t>
      </w:r>
      <w:r w:rsid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Bjelovarsko-bilogorske županije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>Doma za starije i nemoćne osobe Bjelovar za kupovinu opreme i dodatna ulaganja u postojeću imovinu. Manjak od financijske imovine i zaduživanja kod B</w:t>
      </w:r>
      <w:r w:rsidR="00CF50D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jelovarsko-bilogorske županije 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odnosi se na</w:t>
      </w:r>
      <w:r w:rsid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otplatu </w:t>
      </w:r>
      <w:r w:rsidR="00435678" w:rsidRP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glavnice kredita za obnovu sportske dvorane četiri srednje škole u Bjelovaru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te na otplatu duga Ministarstvu poljoprivrede za kreditiranje poljoprivrednika sukladno donesenom Terminskom planu te kod većih iskazanih manjkova od financijske imovine i zaduživanja prikazano</w:t>
      </w:r>
      <w:r w:rsid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CF50D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kod proračunskih korisnika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kod Srednje škole </w:t>
      </w:r>
      <w:r w:rsid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„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</w:t>
      </w:r>
      <w:r w:rsid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ugust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Šenoa</w:t>
      </w:r>
      <w:r w:rsidR="0043567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“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Garešnica za otplatu rata leasinga, OŠ Rovišće za otplatu glavnice primljenog kredita (dugoročnog) zbog energetske obnove škole, OŠ V</w:t>
      </w:r>
      <w:r w:rsidR="007F031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ladimira</w:t>
      </w:r>
      <w:r w:rsidRPr="00B56A8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Nazora Daruvar za otplatu leasinga za kombi vozilo i Doma za starije i nemoćne osobe Bjelovar za otplatu kredita za energetsku obnovu Doma.</w:t>
      </w:r>
    </w:p>
    <w:p w14:paraId="28B6B1E7" w14:textId="77777777" w:rsidR="00CF50DB" w:rsidRDefault="00CF50DB" w:rsidP="00B56A86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0306754" w14:textId="77777777" w:rsidR="00CD5A79" w:rsidRPr="007007E2" w:rsidRDefault="00CD5A79" w:rsidP="00CD5A79">
      <w:pPr>
        <w:pStyle w:val="NoSpacing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007E2">
        <w:rPr>
          <w:rFonts w:ascii="Times New Roman" w:eastAsia="Times New Roman" w:hAnsi="Times New Roman" w:cs="Times New Roman"/>
          <w:b/>
          <w:lang w:eastAsia="hr-HR"/>
        </w:rPr>
        <w:t>Prikaz ostvarenja rashoda i  izdataka proračuna po proračunskim korisnicima</w:t>
      </w:r>
    </w:p>
    <w:p w14:paraId="5256888E" w14:textId="77777777" w:rsidR="00876C33" w:rsidRDefault="00876C33" w:rsidP="00CD5A79">
      <w:pPr>
        <w:pStyle w:val="NoSpacing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BF8F056" w14:textId="112C3FA9" w:rsidR="007403C5" w:rsidRPr="00876C33" w:rsidRDefault="00876C33" w:rsidP="00876C33">
      <w:pPr>
        <w:pStyle w:val="NoSpacing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</w:pPr>
      <w:r w:rsidRPr="00876C33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  <w:t xml:space="preserve">Tablica </w:t>
      </w:r>
      <w:r w:rsidR="00AE1813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  <w:t>3</w:t>
      </w:r>
      <w:r w:rsidRPr="00876C33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  <w:t>.</w:t>
      </w:r>
    </w:p>
    <w:tbl>
      <w:tblPr>
        <w:tblW w:w="948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5"/>
        <w:gridCol w:w="1690"/>
        <w:gridCol w:w="1523"/>
        <w:gridCol w:w="1414"/>
        <w:gridCol w:w="975"/>
      </w:tblGrid>
      <w:tr w:rsidR="007F75A9" w:rsidRPr="007F75A9" w14:paraId="52538F61" w14:textId="77777777" w:rsidTr="007F75A9">
        <w:trPr>
          <w:trHeight w:val="618"/>
        </w:trPr>
        <w:tc>
          <w:tcPr>
            <w:tcW w:w="3969" w:type="dxa"/>
            <w:shd w:val="clear" w:color="auto" w:fill="F2F2F2" w:themeFill="background1" w:themeFillShade="F2"/>
            <w:vAlign w:val="center"/>
            <w:hideMark/>
          </w:tcPr>
          <w:p w14:paraId="5828DF85" w14:textId="6D0C9064" w:rsidR="007F75A9" w:rsidRPr="007F75A9" w:rsidRDefault="007F75A9" w:rsidP="007F75A9">
            <w:pPr>
              <w:ind w:firstLineChars="100" w:firstLine="181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BBŽ i proračunski korisnici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  <w:hideMark/>
          </w:tcPr>
          <w:p w14:paraId="3313C7B6" w14:textId="33D77ED3" w:rsidR="007F75A9" w:rsidRPr="007F75A9" w:rsidRDefault="007F75A9" w:rsidP="007F7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Izvorni plan 2025.</w:t>
            </w:r>
          </w:p>
        </w:tc>
        <w:tc>
          <w:tcPr>
            <w:tcW w:w="1423" w:type="dxa"/>
            <w:shd w:val="clear" w:color="auto" w:fill="F2F2F2" w:themeFill="background1" w:themeFillShade="F2"/>
            <w:vAlign w:val="center"/>
            <w:hideMark/>
          </w:tcPr>
          <w:p w14:paraId="18E15528" w14:textId="5E94E461" w:rsidR="007F75A9" w:rsidRPr="007F75A9" w:rsidRDefault="007F75A9" w:rsidP="007F75A9">
            <w:pPr>
              <w:ind w:leftChars="-33" w:left="24" w:hangingChars="57" w:hanging="103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Tekući plan 202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E471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14:paraId="178C9050" w14:textId="3B32DD19" w:rsidR="007F75A9" w:rsidRPr="007F75A9" w:rsidRDefault="007F75A9" w:rsidP="007F7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Izvršenje</w:t>
            </w:r>
            <w:r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3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  <w:r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  <w:r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E4718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82" w:type="dxa"/>
            <w:shd w:val="clear" w:color="auto" w:fill="F2F2F2" w:themeFill="background1" w:themeFillShade="F2"/>
            <w:vAlign w:val="center"/>
            <w:hideMark/>
          </w:tcPr>
          <w:p w14:paraId="06890A0F" w14:textId="500D331F" w:rsidR="007F75A9" w:rsidRPr="007F75A9" w:rsidRDefault="007F75A9" w:rsidP="007F7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67A5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Indeks (4./3.)</w:t>
            </w:r>
          </w:p>
        </w:tc>
      </w:tr>
      <w:tr w:rsidR="00E47187" w:rsidRPr="007F75A9" w14:paraId="56E1E788" w14:textId="77777777" w:rsidTr="007F75A9">
        <w:trPr>
          <w:trHeight w:val="204"/>
        </w:trPr>
        <w:tc>
          <w:tcPr>
            <w:tcW w:w="3969" w:type="dxa"/>
            <w:shd w:val="clear" w:color="000000" w:fill="FFFFFF"/>
            <w:vAlign w:val="center"/>
          </w:tcPr>
          <w:p w14:paraId="758DD610" w14:textId="5489E43B" w:rsidR="00E47187" w:rsidRPr="007F75A9" w:rsidRDefault="00E47187" w:rsidP="00E47187">
            <w:pPr>
              <w:ind w:firstLineChars="100" w:firstLine="100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1</w:t>
            </w:r>
            <w:r w:rsidR="00B67A53"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1696" w:type="dxa"/>
            <w:shd w:val="clear" w:color="000000" w:fill="FFFFFF"/>
            <w:vAlign w:val="center"/>
          </w:tcPr>
          <w:p w14:paraId="5D5A151A" w14:textId="49059010" w:rsidR="00E47187" w:rsidRPr="007F75A9" w:rsidRDefault="00E47187" w:rsidP="00E47187">
            <w:pPr>
              <w:ind w:firstLineChars="100" w:firstLine="100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2</w:t>
            </w:r>
            <w:r w:rsidR="00B67A53"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1423" w:type="dxa"/>
            <w:shd w:val="clear" w:color="000000" w:fill="FFFFFF"/>
            <w:vAlign w:val="center"/>
          </w:tcPr>
          <w:p w14:paraId="63E878DC" w14:textId="75748D7A" w:rsidR="00E47187" w:rsidRPr="007F75A9" w:rsidRDefault="00E47187" w:rsidP="00E47187">
            <w:pPr>
              <w:ind w:firstLineChars="100" w:firstLine="100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3</w:t>
            </w:r>
            <w:r w:rsidR="00B67A53"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87177C5" w14:textId="13646F18" w:rsidR="00E47187" w:rsidRPr="007F75A9" w:rsidRDefault="00E47187" w:rsidP="00E47187">
            <w:pPr>
              <w:ind w:leftChars="-34" w:left="-24" w:hangingChars="58" w:hanging="58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4</w:t>
            </w:r>
            <w:r w:rsidR="00B67A53"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982" w:type="dxa"/>
            <w:shd w:val="clear" w:color="000000" w:fill="FFFFFF"/>
            <w:vAlign w:val="center"/>
          </w:tcPr>
          <w:p w14:paraId="640CB753" w14:textId="0F06A33E" w:rsidR="00E47187" w:rsidRPr="007F75A9" w:rsidRDefault="00E47187" w:rsidP="00E47187">
            <w:pPr>
              <w:ind w:firstLineChars="100" w:firstLine="100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5</w:t>
            </w:r>
            <w:r w:rsidR="00B67A53" w:rsidRPr="007F75A9"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</w:tr>
      <w:tr w:rsidR="003A4F1C" w:rsidRPr="007F75A9" w14:paraId="461E97F6" w14:textId="77777777" w:rsidTr="000162A7">
        <w:trPr>
          <w:trHeight w:val="360"/>
        </w:trPr>
        <w:tc>
          <w:tcPr>
            <w:tcW w:w="3969" w:type="dxa"/>
            <w:shd w:val="clear" w:color="auto" w:fill="F2F2F2" w:themeFill="background1" w:themeFillShade="F2"/>
            <w:vAlign w:val="center"/>
            <w:hideMark/>
          </w:tcPr>
          <w:p w14:paraId="6AB06356" w14:textId="272CC0D5" w:rsidR="003A4F1C" w:rsidRPr="007F75A9" w:rsidRDefault="003A4F1C" w:rsidP="003A4F1C">
            <w:pPr>
              <w:ind w:firstLineChars="100" w:firstLine="18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SVEUKUPNO</w:t>
            </w:r>
          </w:p>
        </w:tc>
        <w:tc>
          <w:tcPr>
            <w:tcW w:w="1696" w:type="dxa"/>
            <w:shd w:val="clear" w:color="auto" w:fill="F2F2F2" w:themeFill="background1" w:themeFillShade="F2"/>
            <w:vAlign w:val="center"/>
            <w:hideMark/>
          </w:tcPr>
          <w:p w14:paraId="0BDFD80D" w14:textId="279CB381" w:rsidR="003A4F1C" w:rsidRPr="007F75A9" w:rsidRDefault="003A4F1C" w:rsidP="003A4F1C">
            <w:pPr>
              <w:ind w:firstLineChars="100" w:firstLine="181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127.852.697,00</w:t>
            </w:r>
          </w:p>
        </w:tc>
        <w:tc>
          <w:tcPr>
            <w:tcW w:w="1423" w:type="dxa"/>
            <w:shd w:val="clear" w:color="auto" w:fill="F2F2F2" w:themeFill="background1" w:themeFillShade="F2"/>
            <w:vAlign w:val="center"/>
            <w:hideMark/>
          </w:tcPr>
          <w:p w14:paraId="25701D3A" w14:textId="138B8FB0" w:rsidR="003A4F1C" w:rsidRPr="007F75A9" w:rsidRDefault="003A4F1C" w:rsidP="003A4F1C">
            <w:pPr>
              <w:ind w:firstLineChars="100" w:firstLine="181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127.852.697,00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14:paraId="591DFDE1" w14:textId="57412270" w:rsidR="003A4F1C" w:rsidRPr="007F75A9" w:rsidRDefault="003A4F1C" w:rsidP="003A4F1C">
            <w:pPr>
              <w:ind w:leftChars="-34" w:left="23" w:hangingChars="58" w:hanging="105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60.810.383,42</w:t>
            </w:r>
          </w:p>
        </w:tc>
        <w:tc>
          <w:tcPr>
            <w:tcW w:w="982" w:type="dxa"/>
            <w:shd w:val="clear" w:color="auto" w:fill="F2F2F2" w:themeFill="background1" w:themeFillShade="F2"/>
            <w:vAlign w:val="center"/>
            <w:hideMark/>
          </w:tcPr>
          <w:p w14:paraId="6EA18956" w14:textId="52598B44" w:rsidR="003A4F1C" w:rsidRPr="007F75A9" w:rsidRDefault="003A4F1C" w:rsidP="003A4F1C">
            <w:pPr>
              <w:ind w:firstLineChars="100" w:firstLine="181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47,56</w:t>
            </w:r>
          </w:p>
        </w:tc>
      </w:tr>
      <w:tr w:rsidR="003A4F1C" w:rsidRPr="007F75A9" w14:paraId="4B793C61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1EB88B9D" w14:textId="7687BE58" w:rsidR="003A4F1C" w:rsidRPr="007F75A9" w:rsidRDefault="003A4F1C" w:rsidP="007F75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BJELOVARSKO</w:t>
            </w:r>
            <w:r w:rsidR="00EB27ED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BILOGORSKA ŽUPANIJA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8D0D84F" w14:textId="0508B0A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23.591.886,00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6F07131B" w14:textId="50D7534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23.591.886,00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D74ECCA" w14:textId="688B35E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9.731.958,87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09ACF680" w14:textId="508789C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41,25</w:t>
            </w:r>
          </w:p>
        </w:tc>
      </w:tr>
      <w:tr w:rsidR="003A4F1C" w:rsidRPr="007F75A9" w14:paraId="6FA3603E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050E31B4" w14:textId="3E96B376" w:rsidR="003A4F1C" w:rsidRPr="007F75A9" w:rsidRDefault="003A4F1C" w:rsidP="007F75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JU RAZVOJNA AGENCIJA BJELOVARSKO-BILOGORSKE ŽUPANIJE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0C957F6A" w14:textId="3F2A2E1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432.000,00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5E45C1C0" w14:textId="4359DF9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432.000,00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3526BE17" w14:textId="6C1CD836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202.747,76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A573BF1" w14:textId="65B7072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46,93</w:t>
            </w:r>
          </w:p>
        </w:tc>
      </w:tr>
      <w:tr w:rsidR="003A4F1C" w:rsidRPr="007F75A9" w14:paraId="4B47BB58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69B0269A" w14:textId="366F8D02" w:rsidR="003A4F1C" w:rsidRPr="007F75A9" w:rsidRDefault="003A4F1C" w:rsidP="007F75A9">
            <w:pPr>
              <w:ind w:leftChars="13" w:left="31" w:firstLineChars="1" w:firstLine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ZAVOD ZA PROSTORNO UREĐENJE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5C5DA5B" w14:textId="49DD109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376.000,00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256AAED" w14:textId="37AE9FC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376.000,00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41E82615" w14:textId="39EDC38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175.291,97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0209C142" w14:textId="3FC18B82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46,62</w:t>
            </w:r>
          </w:p>
        </w:tc>
      </w:tr>
      <w:tr w:rsidR="003A4F1C" w:rsidRPr="007F75A9" w14:paraId="270D3C11" w14:textId="77777777" w:rsidTr="007F75A9">
        <w:trPr>
          <w:trHeight w:val="375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19EB0BEB" w14:textId="1217ECD5" w:rsidR="003A4F1C" w:rsidRPr="007F75A9" w:rsidRDefault="003A4F1C" w:rsidP="007F75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JU ZA UPRAVLJANJE ZAŠTIĆENIM DIJELOVIMA PRIRODE BBŽ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693504E5" w14:textId="6E3340E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208.312,00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209ACD2" w14:textId="138F3797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208.312,00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3837AFC8" w14:textId="57E9C53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72.259,09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4B5F6E09" w14:textId="3F27AC8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34,69</w:t>
            </w:r>
          </w:p>
        </w:tc>
      </w:tr>
      <w:tr w:rsidR="003A4F1C" w:rsidRPr="007F75A9" w14:paraId="7C90B30E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41C62820" w14:textId="7DF23E31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MIRKA PEREŠA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69FE2632" w14:textId="03AADB3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1.680.125,00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560C2C72" w14:textId="527AC29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1.680.125,00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2C11FAEA" w14:textId="0DE5EC6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830.202,63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48D3B341" w14:textId="69310A6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49,41</w:t>
            </w:r>
          </w:p>
        </w:tc>
      </w:tr>
      <w:tr w:rsidR="003A4F1C" w:rsidRPr="007F75A9" w14:paraId="56E00391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5632163F" w14:textId="5148D7DC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ROVIŠĆE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5A8C59F5" w14:textId="5A8E1582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3.080.995,00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5563FB7F" w14:textId="6C1FBFF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3.080.995,00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7B41BC3" w14:textId="582F4B8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1.771.926,79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539A05DE" w14:textId="6EBF4BA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57,51</w:t>
            </w:r>
          </w:p>
        </w:tc>
      </w:tr>
      <w:tr w:rsidR="003A4F1C" w:rsidRPr="007F75A9" w14:paraId="6D83DEF0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6AF5BD6C" w14:textId="728DE8B6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VELIKA PISANICA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7070B9B7" w14:textId="334297B3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1.461.679,00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2F918776" w14:textId="6DE6013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1.461.679,00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D067595" w14:textId="4765A34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819.290,38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7BD9CC69" w14:textId="3511DC38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56,05</w:t>
            </w:r>
          </w:p>
        </w:tc>
      </w:tr>
      <w:tr w:rsidR="003A4F1C" w:rsidRPr="007F75A9" w14:paraId="712DF101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770C94B2" w14:textId="49258D7F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VELIKO TROJSTVO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38B16614" w14:textId="7ED5C8D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1.233.509,00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08A5D906" w14:textId="69264D4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1.233.509,00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5D8360CB" w14:textId="525928C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803.740,77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14252CA2" w14:textId="4C08E5B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65,16</w:t>
            </w:r>
          </w:p>
        </w:tc>
      </w:tr>
      <w:tr w:rsidR="003A4F1C" w:rsidRPr="007F75A9" w14:paraId="3B84C22C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0A83AF60" w14:textId="40B212E2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IVANSKA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78EB9AA9" w14:textId="22F20F47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1.331.289,00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01994CB8" w14:textId="43DDF9B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1.331.289,00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120E41D" w14:textId="7150D3C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761.580,47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15DC325C" w14:textId="7C2CF092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57,21</w:t>
            </w:r>
          </w:p>
        </w:tc>
      </w:tr>
      <w:tr w:rsidR="003A4F1C" w:rsidRPr="007F75A9" w14:paraId="45ADBD22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6F19E826" w14:textId="0A8B4877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ŠTEFANJE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4FEBF5A9" w14:textId="56C74B1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797.679,00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2A3C37FA" w14:textId="73A2309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797.679,00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633C34A8" w14:textId="37E276E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474.164,79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17BCEBC6" w14:textId="79C0C02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59,44</w:t>
            </w:r>
          </w:p>
        </w:tc>
      </w:tr>
      <w:tr w:rsidR="003A4F1C" w:rsidRPr="007F75A9" w14:paraId="44265DC7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353D8FA7" w14:textId="1C67A0F9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VLADIMIRA NAZORA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15BCCC64" w14:textId="0BE6BE33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3.101.086,00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06F9E030" w14:textId="6A70C3D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3.101.086,00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3B1A4C55" w14:textId="108FC08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1.849.455,13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7AEF29E0" w14:textId="116F0C26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59,64</w:t>
            </w:r>
          </w:p>
        </w:tc>
      </w:tr>
      <w:tr w:rsidR="003A4F1C" w:rsidRPr="007F75A9" w14:paraId="7AFC6992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0EE8683F" w14:textId="4E973C95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ČEŠKA OSNOVNA ŠKOLA JANA AMOSA KOMENSKOG DARUVAR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04F40145" w14:textId="5A5BE7C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1.491.340,00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1FE17961" w14:textId="0BC9B0C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1.491.340,00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27FA3264" w14:textId="5038F05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925.923,43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446BE9FD" w14:textId="124A17A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62,09</w:t>
            </w:r>
          </w:p>
        </w:tc>
      </w:tr>
      <w:tr w:rsidR="003A4F1C" w:rsidRPr="007F75A9" w14:paraId="7FDA5C0F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406AFE00" w14:textId="1AFC0EF3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DEŽANOVAC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639F187F" w14:textId="7F0767C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1.021.327,00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697B9973" w14:textId="39C18F07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1.021.327,00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45BABE66" w14:textId="6C435F87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608.127,33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8271EEE" w14:textId="7FAC19F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59,54</w:t>
            </w:r>
          </w:p>
        </w:tc>
      </w:tr>
      <w:tr w:rsidR="003A4F1C" w:rsidRPr="007F75A9" w14:paraId="4CB31683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770AB637" w14:textId="52D64C8E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ĐULOVAC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70FD451A" w14:textId="0FDB2EF6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1.489.607,00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F50F0A7" w14:textId="6C652C1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1.489.607,00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F2D1A66" w14:textId="169687F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914.032,54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05A8BD4" w14:textId="26576956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61,36</w:t>
            </w:r>
          </w:p>
        </w:tc>
      </w:tr>
      <w:tr w:rsidR="003A4F1C" w:rsidRPr="007F75A9" w14:paraId="1A685380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0D7378E8" w14:textId="0243B9FB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ČEŠKA OSNOVNA ŠKOLA JOSIPA RUŽIČKE KONČANICA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1F2238A" w14:textId="66512503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1.215.146,00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614A3501" w14:textId="439BAAE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1.215.146,00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6E05954" w14:textId="3D597A6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657.542,51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17CFCFEC" w14:textId="7302A058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54,11</w:t>
            </w:r>
          </w:p>
        </w:tc>
      </w:tr>
      <w:tr w:rsidR="003A4F1C" w:rsidRPr="007F75A9" w14:paraId="0404B108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2F5802E8" w14:textId="7B429637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SIRAČ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5E745AF7" w14:textId="2CB6868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1.007.029,00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0D2AA05" w14:textId="4F441FE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1.007.029,00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CD15810" w14:textId="60DEFCD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549.472,14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62C13EA" w14:textId="75E18DF7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54,56</w:t>
            </w:r>
          </w:p>
        </w:tc>
      </w:tr>
      <w:tr w:rsidR="003A4F1C" w:rsidRPr="007F75A9" w14:paraId="570812C9" w14:textId="77777777" w:rsidTr="007F75A9">
        <w:trPr>
          <w:trHeight w:val="155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43083C26" w14:textId="4489B97D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BEREK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DF85925" w14:textId="6A9B3EB6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719.145,00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2B80A407" w14:textId="00BD9188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719.145,00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0121743E" w14:textId="18539E2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356.373,61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7B751DE0" w14:textId="7AEC0A16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49,56</w:t>
            </w:r>
          </w:p>
        </w:tc>
      </w:tr>
      <w:tr w:rsidR="003A4F1C" w:rsidRPr="007F75A9" w14:paraId="55965322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6BC58A80" w14:textId="729DC467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SLAVKA KOLARA HERCEGOVAC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145F3668" w14:textId="34E26C9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947.529,00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23B6E875" w14:textId="22EB5AB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947.529,00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3B009E94" w14:textId="6E505BA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527.346,74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1D077F2" w14:textId="154E08F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55,65</w:t>
            </w:r>
          </w:p>
        </w:tc>
      </w:tr>
      <w:tr w:rsidR="003A4F1C" w:rsidRPr="007F75A9" w14:paraId="474033F1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03001F7D" w14:textId="29849503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TRNOVITICA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36C4B39C" w14:textId="46E8B8D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813.230,00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32B402A" w14:textId="03081B6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813.230,00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D496998" w14:textId="79149B4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347.729,98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464B9FF" w14:textId="02E2D2D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42,76</w:t>
            </w:r>
          </w:p>
        </w:tc>
      </w:tr>
      <w:tr w:rsidR="003A4F1C" w:rsidRPr="007F75A9" w14:paraId="28F74D05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05158942" w14:textId="5E5555A7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IVANA VITEZA TRNSKOG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63F6140" w14:textId="28CA90F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1.132.648,00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68829789" w14:textId="71CBDF93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1.132.648,00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4FC40F4" w14:textId="669FB96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878.272,72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0C54B6D9" w14:textId="5EC360A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77,54</w:t>
            </w:r>
          </w:p>
        </w:tc>
      </w:tr>
      <w:tr w:rsidR="003A4F1C" w:rsidRPr="007F75A9" w14:paraId="4F1892CF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32527669" w14:textId="0AC3BF0A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OSNOVNA ŠKOLA "MATE LOVRAKA" VELIKI GRĐEVAC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0955976" w14:textId="4DB9303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1.500.459,00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1C95CA01" w14:textId="004FD9F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1.500.459,00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39733C70" w14:textId="081A90C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943.254,64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14E277BF" w14:textId="3EC7F30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62,86</w:t>
            </w:r>
          </w:p>
        </w:tc>
      </w:tr>
      <w:tr w:rsidR="003A4F1C" w:rsidRPr="007F75A9" w14:paraId="66F34D39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7CC4E06B" w14:textId="12848E2B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GIMNAZIJA BJELOVAR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7E2652E" w14:textId="0163718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2.206.930,00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3505660" w14:textId="439CC718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2.206.930,00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2C0E7159" w14:textId="2C33A958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994.208,16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411F4051" w14:textId="3B8343F7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45,05</w:t>
            </w:r>
          </w:p>
        </w:tc>
      </w:tr>
      <w:tr w:rsidR="003A4F1C" w:rsidRPr="007F75A9" w14:paraId="47F324C9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1EE66FD5" w14:textId="024ECF8E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MEDICINSKA ŠKOLA BJELOVAR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095CF5FB" w14:textId="6A8D387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2.249.902,00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4E55491E" w14:textId="6854103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2.249.902,00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38E2E0CF" w14:textId="108E547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1.088.152,88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72D74807" w14:textId="2EDF7272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48,36</w:t>
            </w:r>
          </w:p>
        </w:tc>
      </w:tr>
      <w:tr w:rsidR="003A4F1C" w:rsidRPr="007F75A9" w14:paraId="113203D1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55D710C1" w14:textId="247D3C73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KOMERCIJALNA I TRGOVAČKA ŠKOLA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36AA9EDF" w14:textId="4D7C27F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1.342.855,00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4A9D93EC" w14:textId="6962295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1.342.855,00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A40A672" w14:textId="4A46D26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649.804,39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3D3E117F" w14:textId="19F9376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48,39</w:t>
            </w:r>
          </w:p>
        </w:tc>
      </w:tr>
      <w:tr w:rsidR="003A4F1C" w:rsidRPr="007F75A9" w14:paraId="62B58763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46C911C3" w14:textId="7384D4A7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TURISTIČKO-UGOSTITELJSKA I PREHRAMBENA ŠKOLA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ABB3F75" w14:textId="49835A12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2.213.254,00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6C7E2845" w14:textId="1856074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2.213.254,00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3EDBC4D2" w14:textId="6D9243A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1.191.967,47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101A798B" w14:textId="08D1B05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53,86</w:t>
            </w:r>
          </w:p>
        </w:tc>
      </w:tr>
      <w:tr w:rsidR="003A4F1C" w:rsidRPr="007F75A9" w14:paraId="72B7E207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6917BC27" w14:textId="49DF0972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EKONOMSKA I BIROTEHNIČKA ŠKOLA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4E9A002E" w14:textId="11EC3F7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1.907.484,00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0505C0A7" w14:textId="1EC5D97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1.907.484,00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48BC7546" w14:textId="7C18AC3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959.633,36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00EBD786" w14:textId="3466124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50,31</w:t>
            </w:r>
          </w:p>
        </w:tc>
      </w:tr>
      <w:tr w:rsidR="003A4F1C" w:rsidRPr="007F75A9" w14:paraId="794BDB07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13672926" w14:textId="0C7A4125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TEHNIČKA ŠKOLA BJELOVAR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77A24688" w14:textId="1FA8AEE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2.037.056,00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2778C44C" w14:textId="47616543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2.037.056,00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5F0F58DF" w14:textId="289E9C5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1.559.531,61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6AD144DE" w14:textId="41446FB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76,56</w:t>
            </w:r>
          </w:p>
        </w:tc>
      </w:tr>
      <w:tr w:rsidR="003A4F1C" w:rsidRPr="007F75A9" w14:paraId="37C2228A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6E1E8869" w14:textId="4921DD0A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OBRTNIČKA ŠKOLA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4642180" w14:textId="56E60C03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1.537.955,00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06600FF" w14:textId="7194186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1.537.955,00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5440F3C7" w14:textId="2D195CD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782.975,08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5AD4FB86" w14:textId="0C70E19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50,91</w:t>
            </w:r>
          </w:p>
        </w:tc>
      </w:tr>
      <w:tr w:rsidR="003A4F1C" w:rsidRPr="007F75A9" w14:paraId="5E4B500C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2DB3E053" w14:textId="3329B61B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SREDNJA ŠKOLA ČAZMA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68B1A1F9" w14:textId="3D0BD9B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1.287.604,00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019FB4CA" w14:textId="1DD3CAC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1.287.604,00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66E74900" w14:textId="55CF3512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724.713,93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51E877DE" w14:textId="243829F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56,28</w:t>
            </w:r>
          </w:p>
        </w:tc>
      </w:tr>
      <w:tr w:rsidR="003A4F1C" w:rsidRPr="007F75A9" w14:paraId="7C2B95C5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0A4AB261" w14:textId="623BEBBE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GIMNAZIJA DARUVAR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6EA9FACB" w14:textId="6CD4739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932.716,00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0A07297F" w14:textId="64CAD863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932.716,00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4FCFA868" w14:textId="1DF56FB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530.206,33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6C7C6B41" w14:textId="207D751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56,85</w:t>
            </w:r>
          </w:p>
        </w:tc>
      </w:tr>
      <w:tr w:rsidR="003A4F1C" w:rsidRPr="007F75A9" w14:paraId="5D7CB469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2F1D9BD5" w14:textId="2FCFD23C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TEHNIČKA ŠKOLA DARUVAR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1DEFF832" w14:textId="5726CB82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2.668.449,00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1A116A63" w14:textId="4B22066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2.668.449,00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292B11BC" w14:textId="66D252E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1.549.350,40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745434DB" w14:textId="4EBA6CE8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58,06</w:t>
            </w:r>
          </w:p>
        </w:tc>
      </w:tr>
      <w:tr w:rsidR="003A4F1C" w:rsidRPr="007F75A9" w14:paraId="0235624F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14220DEB" w14:textId="52C10516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EKONOMSKA I TURISTIČKA ŠKOLA DARUVAR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797CA7D1" w14:textId="28848DC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1.635.238,00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E3EE6A6" w14:textId="1A0A4412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1.635.238,00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0E235389" w14:textId="7E48C63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910.150,97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7C487174" w14:textId="5D4EE8B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55,66</w:t>
            </w:r>
          </w:p>
        </w:tc>
      </w:tr>
      <w:tr w:rsidR="003A4F1C" w:rsidRPr="007F75A9" w14:paraId="5B0A3E1E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55092B38" w14:textId="51ED0D29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SREDNJA ŠKOLA AUGUST ŠENOA GAREŠNICA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5BCBD7DD" w14:textId="113A106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2.492.110,00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62525EF" w14:textId="0FD8817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2.492.110,00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4A2D03D6" w14:textId="17AF075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1.411.076,95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3BF9038E" w14:textId="6065579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56,62</w:t>
            </w:r>
          </w:p>
        </w:tc>
      </w:tr>
      <w:tr w:rsidR="003A4F1C" w:rsidRPr="007F75A9" w14:paraId="147526A2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32FDF571" w14:textId="0E1EB484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SREDNJA ŠKOLA BARTOLA KAŠIĆA GRUBIŠNO POLJE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53BDC325" w14:textId="05DCA3F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1.601.393,00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31F44D24" w14:textId="24724325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1.601.393,00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04402ABC" w14:textId="1D519D1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817.043,95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CB41ACE" w14:textId="626E1577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51,02</w:t>
            </w:r>
          </w:p>
        </w:tc>
      </w:tr>
      <w:tr w:rsidR="003A4F1C" w:rsidRPr="007F75A9" w14:paraId="72BD8B13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6D57C780" w14:textId="4AFFDE88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GLAZBENA ŠKOLA VATROSLAVA LISINSKOG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5B8D719C" w14:textId="3DDD8AF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1.242.829,00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5C4C4E1A" w14:textId="250DEFF7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1.242.829,00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65D32E1" w14:textId="12A8C2C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1.087.605,63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7075D01B" w14:textId="54320C2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87,51</w:t>
            </w:r>
          </w:p>
        </w:tc>
      </w:tr>
      <w:tr w:rsidR="003A4F1C" w:rsidRPr="007F75A9" w14:paraId="0AAA7C30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6C8D4E10" w14:textId="5508D22F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GLAZBENA ŠKOLA BRUNE BJELINSKOG DARUVAR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03F8A6E4" w14:textId="12A33275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1.116.888,00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75271BAB" w14:textId="5D722610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1.116.888,00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785D5AB7" w14:textId="328C47C5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485.574,70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306E1864" w14:textId="7D6326D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43,48</w:t>
            </w:r>
          </w:p>
        </w:tc>
      </w:tr>
      <w:tr w:rsidR="003A4F1C" w:rsidRPr="007F75A9" w14:paraId="06E0B561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496AF855" w14:textId="4E74398D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DOM UČENIKA SREDNJIH ŠKOLA BJELOVAR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7C5A5E1" w14:textId="44FD3B4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1.786.638,00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647969C6" w14:textId="3CD619C5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1.786.638,00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20DBC43F" w14:textId="3D1B831F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736.465,08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A046D45" w14:textId="0E914C66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41,22</w:t>
            </w:r>
          </w:p>
        </w:tc>
      </w:tr>
      <w:tr w:rsidR="003A4F1C" w:rsidRPr="007F75A9" w14:paraId="0871E5C9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759AFE63" w14:textId="5BD0C650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KC "MATO LOVRAK" VELIKI GRĐEVAC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561E05FD" w14:textId="3CCA77E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912.221,00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58D895A6" w14:textId="18686D62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912.221,00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07F1D9E0" w14:textId="1BD4C9C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179.046,30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64400E4F" w14:textId="55D9E5B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19,63</w:t>
            </w:r>
          </w:p>
        </w:tc>
      </w:tr>
      <w:tr w:rsidR="003A4F1C" w:rsidRPr="007F75A9" w14:paraId="0ABE8C22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148917E1" w14:textId="7354E112" w:rsidR="003A4F1C" w:rsidRPr="007F75A9" w:rsidRDefault="003A4F1C" w:rsidP="007F75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DOM ZDRAVLJA BJELOVARSKO-BILOGORSKE ŽUPANIJE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6A65CDA1" w14:textId="1543857B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15.503.615,00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5E8E90D9" w14:textId="5DB09A63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15.503.615,00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E57BC3C" w14:textId="6BFBBA8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7.048.166,40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6DD16C0" w14:textId="6C71C496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45,46</w:t>
            </w:r>
          </w:p>
        </w:tc>
      </w:tr>
      <w:tr w:rsidR="003A4F1C" w:rsidRPr="007F75A9" w14:paraId="4610F7BF" w14:textId="77777777" w:rsidTr="007F75A9">
        <w:trPr>
          <w:trHeight w:val="39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4B12B9A9" w14:textId="1A4B72F7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SPECIJALNA BOLNICA ZA MEDICINSKU REHABILITACIJU "DARUVARSK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286962E9" w14:textId="64C4D428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21.088.219,00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6E04484D" w14:textId="599EA856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21.088.219,00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3556B300" w14:textId="1E02FD7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7.028.637,54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5A1DD8BF" w14:textId="62DECE0A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33,33</w:t>
            </w:r>
          </w:p>
        </w:tc>
      </w:tr>
      <w:tr w:rsidR="003A4F1C" w:rsidRPr="007F75A9" w14:paraId="14EF6E3E" w14:textId="77777777" w:rsidTr="007F75A9">
        <w:trPr>
          <w:trHeight w:val="39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13FD247E" w14:textId="5B863848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ZAVOD ZA JAVNO ZDRAVSTVO BJELOVARSKO-BILOGORSKE ŽUPANIJE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716DC1E6" w14:textId="2F9290AC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3.110.724,00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1AB48360" w14:textId="2E451FDE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3.110.724,00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A20C63B" w14:textId="4C103D0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1.641.072,38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76617C6E" w14:textId="45605B27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52,76</w:t>
            </w:r>
          </w:p>
        </w:tc>
      </w:tr>
      <w:tr w:rsidR="003A4F1C" w:rsidRPr="007F75A9" w14:paraId="684C6BB3" w14:textId="77777777" w:rsidTr="007F75A9">
        <w:trPr>
          <w:trHeight w:val="39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4064F1C0" w14:textId="472A1818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ZAVOD ZA HITNU MEDICINU BJELOVARSKO-BILOGORSKE ŽUPANIJE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7B9B398C" w14:textId="40219BF5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7.205.283,00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0CFBB828" w14:textId="2660332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7.205.283,00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2FD49998" w14:textId="5A225AD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3.637.270,91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0A152581" w14:textId="53A5CFF9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50,48</w:t>
            </w:r>
          </w:p>
        </w:tc>
      </w:tr>
      <w:tr w:rsidR="003A4F1C" w:rsidRPr="007F75A9" w14:paraId="5B53F5A1" w14:textId="77777777" w:rsidTr="007F75A9">
        <w:trPr>
          <w:trHeight w:val="240"/>
        </w:trPr>
        <w:tc>
          <w:tcPr>
            <w:tcW w:w="3969" w:type="dxa"/>
            <w:shd w:val="clear" w:color="auto" w:fill="FFFFFF" w:themeFill="background1"/>
            <w:vAlign w:val="center"/>
            <w:hideMark/>
          </w:tcPr>
          <w:p w14:paraId="56CCA7D0" w14:textId="34EB26D0" w:rsidR="003A4F1C" w:rsidRPr="007F75A9" w:rsidRDefault="003A4F1C" w:rsidP="003A4F1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DOM ZA STARIJE OSOBE BJELOVAR</w:t>
            </w:r>
          </w:p>
        </w:tc>
        <w:tc>
          <w:tcPr>
            <w:tcW w:w="1696" w:type="dxa"/>
            <w:shd w:val="clear" w:color="auto" w:fill="FFFFFF" w:themeFill="background1"/>
            <w:vAlign w:val="center"/>
            <w:hideMark/>
          </w:tcPr>
          <w:p w14:paraId="044EC516" w14:textId="191C81A1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3.141.314,00</w:t>
            </w:r>
          </w:p>
        </w:tc>
        <w:tc>
          <w:tcPr>
            <w:tcW w:w="1423" w:type="dxa"/>
            <w:shd w:val="clear" w:color="auto" w:fill="FFFFFF" w:themeFill="background1"/>
            <w:vAlign w:val="center"/>
            <w:hideMark/>
          </w:tcPr>
          <w:p w14:paraId="5CEB8D65" w14:textId="7085A545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3.141.314,00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539C4291" w14:textId="078ED894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1.597.034,71</w:t>
            </w:r>
          </w:p>
        </w:tc>
        <w:tc>
          <w:tcPr>
            <w:tcW w:w="982" w:type="dxa"/>
            <w:shd w:val="clear" w:color="auto" w:fill="FFFFFF" w:themeFill="background1"/>
            <w:vAlign w:val="center"/>
            <w:hideMark/>
          </w:tcPr>
          <w:p w14:paraId="2CB29D94" w14:textId="2E912AAD" w:rsidR="003A4F1C" w:rsidRPr="007F75A9" w:rsidRDefault="003A4F1C" w:rsidP="003A4F1C">
            <w:pPr>
              <w:ind w:firstLineChars="100" w:firstLine="180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F75A9">
              <w:rPr>
                <w:rFonts w:ascii="Times New Roman" w:hAnsi="Times New Roman"/>
                <w:color w:val="000000"/>
                <w:sz w:val="18"/>
                <w:szCs w:val="18"/>
              </w:rPr>
              <w:t>50,84</w:t>
            </w:r>
          </w:p>
        </w:tc>
      </w:tr>
    </w:tbl>
    <w:p w14:paraId="1D181939" w14:textId="77777777" w:rsidR="002B38F5" w:rsidRDefault="002B38F5" w:rsidP="008B6C71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/>
          <w:i/>
          <w:szCs w:val="24"/>
        </w:rPr>
      </w:pPr>
    </w:p>
    <w:p w14:paraId="30A7C0ED" w14:textId="542B52E6" w:rsidR="001C3BCB" w:rsidRDefault="001C3BCB" w:rsidP="008B6C71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/>
          <w:szCs w:val="24"/>
        </w:rPr>
      </w:pPr>
      <w:r w:rsidRPr="00040C64">
        <w:rPr>
          <w:rFonts w:ascii="Times New Roman" w:hAnsi="Times New Roman"/>
          <w:b/>
          <w:i/>
          <w:szCs w:val="24"/>
        </w:rPr>
        <w:t>Opći dio</w:t>
      </w:r>
    </w:p>
    <w:p w14:paraId="2EA107AF" w14:textId="5BFD0A9B" w:rsidR="00D048EF" w:rsidRDefault="00D048EF" w:rsidP="008B6C71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szCs w:val="24"/>
        </w:rPr>
        <w:t xml:space="preserve">Opći dio </w:t>
      </w:r>
      <w:r w:rsidR="007C3BDE">
        <w:rPr>
          <w:rFonts w:ascii="Times New Roman" w:hAnsi="Times New Roman"/>
          <w:szCs w:val="24"/>
        </w:rPr>
        <w:t>i</w:t>
      </w:r>
      <w:r w:rsidR="007007E2">
        <w:rPr>
          <w:rFonts w:ascii="Times New Roman" w:hAnsi="Times New Roman"/>
          <w:szCs w:val="24"/>
        </w:rPr>
        <w:t>zvještaja o izvršenju proračuna</w:t>
      </w:r>
      <w:r>
        <w:rPr>
          <w:rFonts w:ascii="Times New Roman" w:hAnsi="Times New Roman"/>
          <w:szCs w:val="24"/>
        </w:rPr>
        <w:t xml:space="preserve"> sadrži</w:t>
      </w:r>
      <w:r w:rsidR="000F1224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</w:t>
      </w:r>
    </w:p>
    <w:p w14:paraId="72B09844" w14:textId="3C465080" w:rsidR="004E6F8E" w:rsidRPr="004E6F8E" w:rsidRDefault="007007E2" w:rsidP="004E6F8E">
      <w:pPr>
        <w:pStyle w:val="ListParagraph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</w:t>
      </w:r>
      <w:r w:rsidR="004E6F8E">
        <w:rPr>
          <w:rFonts w:ascii="Times New Roman" w:hAnsi="Times New Roman"/>
          <w:szCs w:val="24"/>
        </w:rPr>
        <w:t>ažetak</w:t>
      </w:r>
      <w:r>
        <w:rPr>
          <w:rFonts w:ascii="Times New Roman" w:hAnsi="Times New Roman"/>
          <w:szCs w:val="24"/>
        </w:rPr>
        <w:t xml:space="preserve"> Računa prihoda i rashoda i Računa financiranja</w:t>
      </w:r>
    </w:p>
    <w:p w14:paraId="7BCE64C8" w14:textId="77777777" w:rsidR="00D048EF" w:rsidRDefault="00D048EF" w:rsidP="00D048EF">
      <w:pPr>
        <w:pStyle w:val="ListParagraph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  <w:szCs w:val="24"/>
        </w:rPr>
      </w:pPr>
      <w:r w:rsidRPr="00D048EF">
        <w:rPr>
          <w:rFonts w:ascii="Times New Roman" w:hAnsi="Times New Roman"/>
          <w:szCs w:val="24"/>
        </w:rPr>
        <w:t>izvještaj o prihodima i rashodima prema ekonomskoj klasifikaciji,</w:t>
      </w:r>
    </w:p>
    <w:p w14:paraId="37FD4511" w14:textId="77777777" w:rsidR="00D048EF" w:rsidRDefault="00D048EF" w:rsidP="00D048EF">
      <w:pPr>
        <w:pStyle w:val="ListParagraph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izvještaj o prihodima i rashodima prema izvorima financiranja</w:t>
      </w:r>
    </w:p>
    <w:p w14:paraId="0A4F731F" w14:textId="77777777" w:rsidR="00D048EF" w:rsidRDefault="00D048EF" w:rsidP="00D048EF">
      <w:pPr>
        <w:pStyle w:val="ListParagraph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izvještaj o rashodima prema funkcijskoj klasifikaciji</w:t>
      </w:r>
    </w:p>
    <w:p w14:paraId="25002CDA" w14:textId="77777777" w:rsidR="00DF0A9E" w:rsidRDefault="00DF0A9E" w:rsidP="00D048EF">
      <w:pPr>
        <w:pStyle w:val="ListParagraph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izvještaj računa financiranja prema ekonomskoj klasifikaciji</w:t>
      </w:r>
    </w:p>
    <w:p w14:paraId="59CF1095" w14:textId="14827ABD" w:rsidR="00DB1AE2" w:rsidRDefault="00DF0A9E" w:rsidP="00043F32">
      <w:pPr>
        <w:pStyle w:val="ListParagraph"/>
        <w:numPr>
          <w:ilvl w:val="0"/>
          <w:numId w:val="32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izvještaj računa financiranja prema izvorima financiranja</w:t>
      </w:r>
      <w:r w:rsidR="00EF2D12">
        <w:rPr>
          <w:rFonts w:ascii="Times New Roman" w:hAnsi="Times New Roman"/>
          <w:szCs w:val="24"/>
        </w:rPr>
        <w:t>.</w:t>
      </w:r>
    </w:p>
    <w:p w14:paraId="0688EF8F" w14:textId="77777777" w:rsidR="00043F32" w:rsidRPr="00043F32" w:rsidRDefault="00043F32" w:rsidP="00043F32">
      <w:pPr>
        <w:pStyle w:val="ListParagraph"/>
        <w:tabs>
          <w:tab w:val="left" w:pos="851"/>
        </w:tabs>
        <w:spacing w:line="360" w:lineRule="auto"/>
        <w:ind w:left="1215"/>
        <w:jc w:val="both"/>
        <w:rPr>
          <w:rFonts w:ascii="Times New Roman" w:hAnsi="Times New Roman"/>
          <w:szCs w:val="24"/>
        </w:rPr>
      </w:pPr>
    </w:p>
    <w:p w14:paraId="55FB5334" w14:textId="77777777" w:rsidR="0016190B" w:rsidRDefault="008A00E8" w:rsidP="00385263">
      <w:pPr>
        <w:tabs>
          <w:tab w:val="left" w:pos="851"/>
          <w:tab w:val="left" w:pos="1134"/>
        </w:tabs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8A00E8">
        <w:rPr>
          <w:rFonts w:ascii="Times New Roman" w:hAnsi="Times New Roman"/>
          <w:b/>
          <w:sz w:val="22"/>
          <w:szCs w:val="22"/>
        </w:rPr>
        <w:t>IZVJEŠTAJ O PRIHODIMA I RASHODIMA PREMA EKONOMSKOJ KLASIFIKACIJI</w:t>
      </w:r>
    </w:p>
    <w:p w14:paraId="25B3D21A" w14:textId="77777777" w:rsidR="0016190B" w:rsidRDefault="0016190B" w:rsidP="0078277B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603516CB" w14:textId="11DFFE90" w:rsidR="00CB0EEF" w:rsidRPr="00CB0EEF" w:rsidRDefault="0016190B" w:rsidP="00CB0EEF">
      <w:pPr>
        <w:spacing w:line="360" w:lineRule="auto"/>
        <w:ind w:firstLine="720"/>
        <w:jc w:val="both"/>
        <w:rPr>
          <w:rFonts w:ascii="Times New Roman" w:hAnsi="Times New Roman"/>
          <w:szCs w:val="24"/>
        </w:rPr>
      </w:pPr>
      <w:r w:rsidRPr="008A7038">
        <w:rPr>
          <w:rFonts w:ascii="Times New Roman" w:hAnsi="Times New Roman"/>
          <w:szCs w:val="24"/>
        </w:rPr>
        <w:t>Ovaj izvještaj</w:t>
      </w:r>
      <w:r w:rsidR="008A00E8" w:rsidRPr="008A00E8">
        <w:rPr>
          <w:rFonts w:ascii="Times New Roman" w:hAnsi="Times New Roman"/>
          <w:b/>
          <w:sz w:val="22"/>
          <w:szCs w:val="22"/>
        </w:rPr>
        <w:t xml:space="preserve"> </w:t>
      </w:r>
      <w:r w:rsidR="001C3BCB" w:rsidRPr="008A00E8">
        <w:rPr>
          <w:rFonts w:ascii="Times New Roman" w:hAnsi="Times New Roman"/>
          <w:szCs w:val="24"/>
        </w:rPr>
        <w:t>sadrži</w:t>
      </w:r>
      <w:r w:rsidR="001C3BCB">
        <w:rPr>
          <w:rFonts w:ascii="Times New Roman" w:hAnsi="Times New Roman"/>
          <w:b/>
          <w:szCs w:val="24"/>
        </w:rPr>
        <w:t xml:space="preserve"> </w:t>
      </w:r>
      <w:r w:rsidR="00DB1AE2">
        <w:rPr>
          <w:rFonts w:ascii="Times New Roman" w:hAnsi="Times New Roman"/>
          <w:bCs/>
          <w:szCs w:val="24"/>
        </w:rPr>
        <w:t xml:space="preserve">polugodišnji </w:t>
      </w:r>
      <w:r w:rsidR="001C3BCB">
        <w:rPr>
          <w:rFonts w:ascii="Times New Roman" w:hAnsi="Times New Roman"/>
          <w:szCs w:val="24"/>
        </w:rPr>
        <w:t xml:space="preserve">prikaz prihoda i rashoda prema ekonomskoj </w:t>
      </w:r>
      <w:r w:rsidR="00A212EE">
        <w:rPr>
          <w:rFonts w:ascii="Times New Roman" w:hAnsi="Times New Roman"/>
          <w:szCs w:val="24"/>
        </w:rPr>
        <w:t>klasifikaciji za izvještajno razdoblje prethodne</w:t>
      </w:r>
      <w:r w:rsidR="00EF2D12">
        <w:rPr>
          <w:rFonts w:ascii="Times New Roman" w:hAnsi="Times New Roman"/>
          <w:szCs w:val="24"/>
        </w:rPr>
        <w:t xml:space="preserve"> godine</w:t>
      </w:r>
      <w:r w:rsidR="00A212EE">
        <w:rPr>
          <w:rFonts w:ascii="Times New Roman" w:hAnsi="Times New Roman"/>
          <w:szCs w:val="24"/>
        </w:rPr>
        <w:t xml:space="preserve">, </w:t>
      </w:r>
      <w:r w:rsidR="00930037">
        <w:rPr>
          <w:rFonts w:ascii="Times New Roman" w:hAnsi="Times New Roman"/>
          <w:szCs w:val="24"/>
        </w:rPr>
        <w:t xml:space="preserve">izvorni i tekući </w:t>
      </w:r>
      <w:r w:rsidR="00A212EE">
        <w:rPr>
          <w:rFonts w:ascii="Times New Roman" w:hAnsi="Times New Roman"/>
          <w:szCs w:val="24"/>
        </w:rPr>
        <w:t>plan za proračunsku godinu</w:t>
      </w:r>
      <w:r w:rsidR="00930037">
        <w:rPr>
          <w:rFonts w:ascii="Times New Roman" w:hAnsi="Times New Roman"/>
          <w:szCs w:val="24"/>
        </w:rPr>
        <w:t xml:space="preserve"> te</w:t>
      </w:r>
      <w:r w:rsidR="00A212EE">
        <w:rPr>
          <w:rFonts w:ascii="Times New Roman" w:hAnsi="Times New Roman"/>
          <w:szCs w:val="24"/>
        </w:rPr>
        <w:t xml:space="preserve"> </w:t>
      </w:r>
      <w:r w:rsidR="00DB1AE2">
        <w:rPr>
          <w:rFonts w:ascii="Times New Roman" w:hAnsi="Times New Roman"/>
          <w:szCs w:val="24"/>
        </w:rPr>
        <w:t xml:space="preserve">polugodišnje </w:t>
      </w:r>
      <w:r w:rsidR="00A212EE">
        <w:rPr>
          <w:rFonts w:ascii="Times New Roman" w:hAnsi="Times New Roman"/>
          <w:szCs w:val="24"/>
        </w:rPr>
        <w:t>izvršenje za izvještajno razdoblje tekuće godine.</w:t>
      </w:r>
    </w:p>
    <w:p w14:paraId="6FB85D48" w14:textId="7F249EB5" w:rsidR="00CB0EEF" w:rsidRPr="00356BF0" w:rsidRDefault="00CB0EEF" w:rsidP="002B38F5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szCs w:val="24"/>
        </w:rPr>
      </w:pPr>
      <w:r w:rsidRPr="00356BF0">
        <w:rPr>
          <w:rFonts w:ascii="Times New Roman" w:hAnsi="Times New Roman"/>
          <w:szCs w:val="24"/>
        </w:rPr>
        <w:tab/>
      </w:r>
      <w:r w:rsidRPr="00356BF0">
        <w:rPr>
          <w:rFonts w:ascii="Times New Roman" w:hAnsi="Times New Roman"/>
          <w:b/>
          <w:i/>
          <w:szCs w:val="24"/>
        </w:rPr>
        <w:t>Prihodi poslovanja</w:t>
      </w:r>
      <w:r w:rsidRPr="00356BF0">
        <w:rPr>
          <w:rFonts w:ascii="Times New Roman" w:hAnsi="Times New Roman"/>
          <w:szCs w:val="24"/>
        </w:rPr>
        <w:t xml:space="preserve"> u razdoblju </w:t>
      </w:r>
      <w:r>
        <w:rPr>
          <w:rFonts w:ascii="Times New Roman" w:hAnsi="Times New Roman"/>
          <w:szCs w:val="24"/>
        </w:rPr>
        <w:t xml:space="preserve">od </w:t>
      </w:r>
      <w:r w:rsidRPr="00356BF0">
        <w:rPr>
          <w:rFonts w:ascii="Times New Roman" w:hAnsi="Times New Roman"/>
          <w:szCs w:val="24"/>
        </w:rPr>
        <w:t>01.01</w:t>
      </w:r>
      <w:r>
        <w:rPr>
          <w:rFonts w:ascii="Times New Roman" w:hAnsi="Times New Roman"/>
          <w:szCs w:val="24"/>
        </w:rPr>
        <w:t xml:space="preserve">. do </w:t>
      </w:r>
      <w:r w:rsidRPr="00356BF0">
        <w:rPr>
          <w:rFonts w:ascii="Times New Roman" w:hAnsi="Times New Roman"/>
          <w:szCs w:val="24"/>
        </w:rPr>
        <w:t>30.06.202</w:t>
      </w:r>
      <w:r>
        <w:rPr>
          <w:rFonts w:ascii="Times New Roman" w:hAnsi="Times New Roman"/>
          <w:szCs w:val="24"/>
        </w:rPr>
        <w:t>5</w:t>
      </w:r>
      <w:r w:rsidRPr="00356BF0">
        <w:rPr>
          <w:rFonts w:ascii="Times New Roman" w:hAnsi="Times New Roman"/>
          <w:szCs w:val="24"/>
        </w:rPr>
        <w:t xml:space="preserve">. godine ostvareni su u iznosu </w:t>
      </w:r>
      <w:r>
        <w:rPr>
          <w:rFonts w:ascii="Times New Roman" w:hAnsi="Times New Roman"/>
          <w:szCs w:val="24"/>
        </w:rPr>
        <w:t xml:space="preserve">od </w:t>
      </w:r>
      <w:r w:rsidRPr="00356BF0">
        <w:rPr>
          <w:rFonts w:ascii="Times New Roman" w:hAnsi="Times New Roman"/>
          <w:szCs w:val="24"/>
        </w:rPr>
        <w:t xml:space="preserve">54.060.697,42 </w:t>
      </w:r>
      <w:r>
        <w:rPr>
          <w:rFonts w:ascii="Times New Roman" w:hAnsi="Times New Roman"/>
          <w:szCs w:val="24"/>
        </w:rPr>
        <w:t>eura</w:t>
      </w:r>
      <w:r w:rsidRPr="00356BF0">
        <w:rPr>
          <w:rFonts w:ascii="Times New Roman" w:hAnsi="Times New Roman"/>
          <w:szCs w:val="24"/>
        </w:rPr>
        <w:t xml:space="preserve"> što je </w:t>
      </w:r>
      <w:r>
        <w:rPr>
          <w:rFonts w:ascii="Times New Roman" w:hAnsi="Times New Roman"/>
          <w:szCs w:val="24"/>
        </w:rPr>
        <w:t xml:space="preserve">11,95 </w:t>
      </w:r>
      <w:r w:rsidRPr="00356BF0">
        <w:rPr>
          <w:rFonts w:ascii="Times New Roman" w:hAnsi="Times New Roman"/>
          <w:szCs w:val="24"/>
        </w:rPr>
        <w:t xml:space="preserve">% više u odnosu na ostvarenje istog razdoblja prošle godine, a </w:t>
      </w:r>
      <w:r w:rsidR="00001BF3">
        <w:rPr>
          <w:rFonts w:ascii="Times New Roman" w:hAnsi="Times New Roman"/>
          <w:szCs w:val="24"/>
        </w:rPr>
        <w:t xml:space="preserve">ostvarenje </w:t>
      </w:r>
      <w:r>
        <w:rPr>
          <w:rFonts w:ascii="Times New Roman" w:hAnsi="Times New Roman"/>
          <w:szCs w:val="24"/>
        </w:rPr>
        <w:t xml:space="preserve">44,35 </w:t>
      </w:r>
      <w:r w:rsidRPr="00356BF0">
        <w:rPr>
          <w:rFonts w:ascii="Times New Roman" w:hAnsi="Times New Roman"/>
          <w:szCs w:val="24"/>
        </w:rPr>
        <w:t xml:space="preserve">% u odnosu na plan. </w:t>
      </w:r>
      <w:r w:rsidR="006444FA">
        <w:rPr>
          <w:rFonts w:ascii="Times New Roman" w:hAnsi="Times New Roman"/>
          <w:szCs w:val="24"/>
        </w:rPr>
        <w:t>Prihodi poslovanja</w:t>
      </w:r>
      <w:r w:rsidRPr="00356BF0">
        <w:rPr>
          <w:rFonts w:ascii="Times New Roman" w:hAnsi="Times New Roman"/>
          <w:szCs w:val="24"/>
        </w:rPr>
        <w:t xml:space="preserve"> obuhvaćaju prihode od poreza, pomoći iz </w:t>
      </w:r>
      <w:r w:rsidRPr="00356BF0">
        <w:rPr>
          <w:rFonts w:ascii="Times New Roman" w:hAnsi="Times New Roman"/>
          <w:szCs w:val="24"/>
        </w:rPr>
        <w:lastRenderedPageBreak/>
        <w:t>inozemstva i od subjekata unutar općeg proračuna, prihode od imovine, prihode od upravnih i administrativnih pristojbi, pristojb</w:t>
      </w:r>
      <w:r w:rsidR="006444FA">
        <w:rPr>
          <w:rFonts w:ascii="Times New Roman" w:hAnsi="Times New Roman"/>
          <w:szCs w:val="24"/>
        </w:rPr>
        <w:t>i</w:t>
      </w:r>
      <w:r w:rsidRPr="00356BF0">
        <w:rPr>
          <w:rFonts w:ascii="Times New Roman" w:hAnsi="Times New Roman"/>
          <w:szCs w:val="24"/>
        </w:rPr>
        <w:t xml:space="preserve"> po posebnim propisima i naknad</w:t>
      </w:r>
      <w:r w:rsidR="006444FA">
        <w:rPr>
          <w:rFonts w:ascii="Times New Roman" w:hAnsi="Times New Roman"/>
          <w:szCs w:val="24"/>
        </w:rPr>
        <w:t>e</w:t>
      </w:r>
      <w:r w:rsidRPr="00356BF0">
        <w:rPr>
          <w:rFonts w:ascii="Times New Roman" w:hAnsi="Times New Roman"/>
          <w:szCs w:val="24"/>
        </w:rPr>
        <w:t>, prihode od prodaje proizvoda i robe te pruženih usluga i prihode od donacija te povrate po protestiranim jamstvima, prihode iz nadležnog proračuna i od HZZO-a temeljem ugovornih obveza</w:t>
      </w:r>
      <w:r w:rsidR="006444FA">
        <w:rPr>
          <w:rFonts w:ascii="Times New Roman" w:hAnsi="Times New Roman"/>
          <w:szCs w:val="24"/>
        </w:rPr>
        <w:t xml:space="preserve"> te </w:t>
      </w:r>
      <w:r w:rsidRPr="00356BF0">
        <w:rPr>
          <w:rFonts w:ascii="Times New Roman" w:hAnsi="Times New Roman"/>
          <w:szCs w:val="24"/>
        </w:rPr>
        <w:t>kazne, upravne mjere i ostale prihode.</w:t>
      </w:r>
    </w:p>
    <w:p w14:paraId="0EDF96CF" w14:textId="6CD6BD83" w:rsidR="00CB0EEF" w:rsidRPr="00BD60BB" w:rsidRDefault="00CB0EEF" w:rsidP="002B38F5">
      <w:pPr>
        <w:tabs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2B7A01">
        <w:rPr>
          <w:rFonts w:ascii="Times New Roman" w:hAnsi="Times New Roman"/>
          <w:color w:val="000000" w:themeColor="text1"/>
          <w:szCs w:val="24"/>
        </w:rPr>
        <w:tab/>
      </w:r>
      <w:r w:rsidRPr="00BD60BB">
        <w:rPr>
          <w:rFonts w:ascii="Times New Roman" w:hAnsi="Times New Roman"/>
          <w:bCs/>
          <w:noProof/>
          <w:szCs w:val="24"/>
        </w:rPr>
        <w:tab/>
      </w:r>
      <w:r w:rsidRPr="00BD60BB">
        <w:rPr>
          <w:rFonts w:ascii="Times New Roman" w:hAnsi="Times New Roman"/>
          <w:b/>
          <w:bCs/>
          <w:noProof/>
          <w:szCs w:val="24"/>
        </w:rPr>
        <w:t xml:space="preserve"> Prihodi od poreza</w:t>
      </w:r>
      <w:r w:rsidR="00BD60BB">
        <w:rPr>
          <w:rFonts w:ascii="Times New Roman" w:hAnsi="Times New Roman"/>
          <w:b/>
          <w:bCs/>
          <w:noProof/>
          <w:szCs w:val="24"/>
        </w:rPr>
        <w:t xml:space="preserve"> </w:t>
      </w:r>
      <w:r w:rsidR="00BD60BB" w:rsidRPr="00BD60BB">
        <w:rPr>
          <w:rFonts w:ascii="Times New Roman" w:hAnsi="Times New Roman"/>
          <w:bCs/>
          <w:noProof/>
          <w:szCs w:val="24"/>
        </w:rPr>
        <w:t>na izvoru 11 Opći prihodi i primici</w:t>
      </w:r>
      <w:r w:rsidR="00BD60BB">
        <w:rPr>
          <w:rFonts w:ascii="Times New Roman" w:hAnsi="Times New Roman"/>
          <w:bCs/>
          <w:noProof/>
          <w:szCs w:val="24"/>
        </w:rPr>
        <w:t>,</w:t>
      </w:r>
      <w:r w:rsidRPr="00BD60BB">
        <w:rPr>
          <w:rFonts w:ascii="Times New Roman" w:hAnsi="Times New Roman"/>
          <w:b/>
          <w:bCs/>
          <w:noProof/>
          <w:szCs w:val="24"/>
        </w:rPr>
        <w:t xml:space="preserve"> </w:t>
      </w:r>
      <w:r w:rsidRPr="00BD60BB">
        <w:rPr>
          <w:rFonts w:ascii="Times New Roman" w:hAnsi="Times New Roman"/>
          <w:bCs/>
          <w:noProof/>
          <w:szCs w:val="24"/>
        </w:rPr>
        <w:t>kao najznačajniji izvorni prihodi Županije</w:t>
      </w:r>
      <w:r w:rsidR="00BD60BB" w:rsidRPr="00BD60BB">
        <w:rPr>
          <w:rFonts w:ascii="Times New Roman" w:hAnsi="Times New Roman"/>
          <w:bCs/>
          <w:noProof/>
          <w:szCs w:val="24"/>
        </w:rPr>
        <w:t xml:space="preserve">, </w:t>
      </w:r>
      <w:r w:rsidRPr="00BD60BB">
        <w:rPr>
          <w:rFonts w:ascii="Times New Roman" w:hAnsi="Times New Roman"/>
          <w:bCs/>
          <w:noProof/>
          <w:szCs w:val="24"/>
        </w:rPr>
        <w:t>u odnosu na prošlu godinu u porastu su za 1</w:t>
      </w:r>
      <w:r w:rsidR="00B05A64" w:rsidRPr="00BD60BB">
        <w:rPr>
          <w:rFonts w:ascii="Times New Roman" w:hAnsi="Times New Roman"/>
          <w:bCs/>
          <w:noProof/>
          <w:szCs w:val="24"/>
        </w:rPr>
        <w:t>6</w:t>
      </w:r>
      <w:r w:rsidRPr="00BD60BB">
        <w:rPr>
          <w:rFonts w:ascii="Times New Roman" w:hAnsi="Times New Roman"/>
          <w:bCs/>
          <w:noProof/>
          <w:szCs w:val="24"/>
        </w:rPr>
        <w:t>,</w:t>
      </w:r>
      <w:r w:rsidR="00B05A64" w:rsidRPr="00BD60BB">
        <w:rPr>
          <w:rFonts w:ascii="Times New Roman" w:hAnsi="Times New Roman"/>
          <w:bCs/>
          <w:noProof/>
          <w:szCs w:val="24"/>
        </w:rPr>
        <w:t>58</w:t>
      </w:r>
      <w:r w:rsidR="006444FA" w:rsidRPr="00BD60BB">
        <w:rPr>
          <w:rFonts w:ascii="Times New Roman" w:hAnsi="Times New Roman"/>
          <w:bCs/>
          <w:noProof/>
          <w:szCs w:val="24"/>
        </w:rPr>
        <w:t xml:space="preserve"> </w:t>
      </w:r>
      <w:r w:rsidRPr="00BD60BB">
        <w:rPr>
          <w:rFonts w:ascii="Times New Roman" w:hAnsi="Times New Roman"/>
          <w:bCs/>
          <w:noProof/>
          <w:szCs w:val="24"/>
        </w:rPr>
        <w:t xml:space="preserve">%, dok je u odnosu na plan ostvarenje </w:t>
      </w:r>
      <w:r w:rsidR="00B05A64" w:rsidRPr="00BD60BB">
        <w:rPr>
          <w:rFonts w:ascii="Times New Roman" w:hAnsi="Times New Roman"/>
          <w:bCs/>
          <w:noProof/>
          <w:szCs w:val="24"/>
        </w:rPr>
        <w:t>36,07</w:t>
      </w:r>
      <w:r w:rsidRPr="00BD60BB">
        <w:rPr>
          <w:rFonts w:ascii="Times New Roman" w:hAnsi="Times New Roman"/>
          <w:bCs/>
          <w:noProof/>
          <w:szCs w:val="24"/>
        </w:rPr>
        <w:t xml:space="preserve"> %. Od toga, prihod od poreza na dohodak ostvaren na </w:t>
      </w:r>
      <w:r w:rsidR="00BD60BB">
        <w:rPr>
          <w:rFonts w:ascii="Times New Roman" w:hAnsi="Times New Roman"/>
          <w:bCs/>
          <w:noProof/>
          <w:szCs w:val="24"/>
        </w:rPr>
        <w:t>izvoru 12 Porez na dohodak - decentralizacija</w:t>
      </w:r>
      <w:r w:rsidRPr="00BD60BB">
        <w:rPr>
          <w:rFonts w:ascii="Times New Roman" w:hAnsi="Times New Roman"/>
          <w:bCs/>
          <w:noProof/>
          <w:szCs w:val="24"/>
        </w:rPr>
        <w:t xml:space="preserve"> koji se namjenski raspoređuje ostvaren je u iznosu od 978.778,09 </w:t>
      </w:r>
      <w:r w:rsidR="006E66A4" w:rsidRPr="00BD60BB">
        <w:rPr>
          <w:rFonts w:ascii="Times New Roman" w:hAnsi="Times New Roman"/>
          <w:bCs/>
          <w:noProof/>
          <w:szCs w:val="24"/>
        </w:rPr>
        <w:t>eura što je 34,37 % više u odnosu na prošlu godinu, dok je u odnosu na tekući plan ostvarenje 95,77 %</w:t>
      </w:r>
      <w:r w:rsidRPr="00BD60BB">
        <w:rPr>
          <w:rFonts w:ascii="Times New Roman" w:hAnsi="Times New Roman"/>
          <w:bCs/>
          <w:noProof/>
          <w:szCs w:val="24"/>
        </w:rPr>
        <w:t>.</w:t>
      </w:r>
    </w:p>
    <w:p w14:paraId="32A93C39" w14:textId="77D138E1" w:rsidR="00CB0EEF" w:rsidRPr="00E92F46" w:rsidRDefault="00CB0EEF" w:rsidP="002B38F5">
      <w:pPr>
        <w:tabs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  <w:highlight w:val="yellow"/>
        </w:rPr>
      </w:pPr>
      <w:r w:rsidRPr="0014030E">
        <w:rPr>
          <w:rFonts w:ascii="Times New Roman" w:hAnsi="Times New Roman"/>
          <w:bCs/>
          <w:noProof/>
          <w:color w:val="FF0000"/>
          <w:szCs w:val="24"/>
        </w:rPr>
        <w:tab/>
      </w:r>
      <w:r w:rsidRPr="00E92F46">
        <w:rPr>
          <w:rFonts w:ascii="Times New Roman" w:hAnsi="Times New Roman"/>
          <w:bCs/>
          <w:noProof/>
          <w:szCs w:val="24"/>
        </w:rPr>
        <w:t>Nenamjenski dio prihoda od poreza na dohodak</w:t>
      </w:r>
      <w:r w:rsidR="00BD60BB" w:rsidRPr="00E92F46">
        <w:rPr>
          <w:rFonts w:ascii="Times New Roman" w:hAnsi="Times New Roman"/>
          <w:bCs/>
          <w:noProof/>
          <w:szCs w:val="24"/>
        </w:rPr>
        <w:t xml:space="preserve"> </w:t>
      </w:r>
      <w:r w:rsidRPr="00E92F46">
        <w:rPr>
          <w:rFonts w:ascii="Times New Roman" w:hAnsi="Times New Roman"/>
          <w:bCs/>
          <w:noProof/>
          <w:szCs w:val="24"/>
        </w:rPr>
        <w:t>u obračunskom razdoblju ostvaren je u iznosu</w:t>
      </w:r>
      <w:r w:rsidR="006E66A4" w:rsidRPr="00E92F46">
        <w:rPr>
          <w:rFonts w:ascii="Times New Roman" w:hAnsi="Times New Roman"/>
          <w:bCs/>
          <w:noProof/>
          <w:szCs w:val="24"/>
        </w:rPr>
        <w:t xml:space="preserve"> </w:t>
      </w:r>
      <w:r w:rsidRPr="00E92F46">
        <w:rPr>
          <w:rFonts w:ascii="Times New Roman" w:hAnsi="Times New Roman"/>
          <w:bCs/>
          <w:noProof/>
          <w:szCs w:val="24"/>
        </w:rPr>
        <w:t xml:space="preserve">od 4.301.955,19 </w:t>
      </w:r>
      <w:r w:rsidR="006E66A4" w:rsidRPr="00E92F46">
        <w:rPr>
          <w:rFonts w:ascii="Times New Roman" w:hAnsi="Times New Roman"/>
          <w:bCs/>
          <w:noProof/>
          <w:szCs w:val="24"/>
        </w:rPr>
        <w:t>eura</w:t>
      </w:r>
      <w:r w:rsidRPr="00E92F46">
        <w:rPr>
          <w:rFonts w:ascii="Times New Roman" w:hAnsi="Times New Roman"/>
          <w:bCs/>
          <w:noProof/>
          <w:szCs w:val="24"/>
        </w:rPr>
        <w:t xml:space="preserve"> što je 16,58</w:t>
      </w:r>
      <w:r w:rsidR="006E66A4" w:rsidRPr="00E92F46">
        <w:rPr>
          <w:rFonts w:ascii="Times New Roman" w:hAnsi="Times New Roman"/>
          <w:bCs/>
          <w:noProof/>
          <w:szCs w:val="24"/>
        </w:rPr>
        <w:t xml:space="preserve"> </w:t>
      </w:r>
      <w:r w:rsidRPr="00E92F46">
        <w:rPr>
          <w:rFonts w:ascii="Times New Roman" w:hAnsi="Times New Roman"/>
          <w:bCs/>
          <w:noProof/>
          <w:szCs w:val="24"/>
        </w:rPr>
        <w:t xml:space="preserve">% više u odnosu na promatrano razdoblje prošle godine, </w:t>
      </w:r>
      <w:r w:rsidR="006E66A4" w:rsidRPr="00E92F46">
        <w:rPr>
          <w:rFonts w:ascii="Times New Roman" w:hAnsi="Times New Roman"/>
          <w:bCs/>
          <w:noProof/>
          <w:szCs w:val="24"/>
        </w:rPr>
        <w:t>dok je u odnosu na tekući plan ostvarenje 36,07 %.</w:t>
      </w:r>
    </w:p>
    <w:p w14:paraId="56000B2E" w14:textId="769512B1" w:rsidR="00876C33" w:rsidRPr="00CB0EEF" w:rsidRDefault="00CB0EEF" w:rsidP="002B38F5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14030E">
        <w:rPr>
          <w:rFonts w:ascii="Times New Roman" w:hAnsi="Times New Roman"/>
          <w:color w:val="FF0000"/>
          <w:szCs w:val="24"/>
        </w:rPr>
        <w:tab/>
      </w:r>
      <w:r w:rsidRPr="0093130C">
        <w:rPr>
          <w:rFonts w:ascii="Times New Roman" w:hAnsi="Times New Roman"/>
          <w:szCs w:val="24"/>
        </w:rPr>
        <w:t xml:space="preserve"> Povrat poreza i prireza na dohodak po godišnjoj prijavi </w:t>
      </w:r>
      <w:r w:rsidR="006E66A4" w:rsidRPr="0093130C">
        <w:rPr>
          <w:rFonts w:ascii="Times New Roman" w:hAnsi="Times New Roman"/>
          <w:szCs w:val="24"/>
        </w:rPr>
        <w:t>ostvaren</w:t>
      </w:r>
      <w:r w:rsidRPr="0093130C">
        <w:rPr>
          <w:rFonts w:ascii="Times New Roman" w:hAnsi="Times New Roman"/>
          <w:szCs w:val="24"/>
        </w:rPr>
        <w:t xml:space="preserve"> je u iznosu </w:t>
      </w:r>
      <w:r w:rsidR="006E66A4" w:rsidRPr="0093130C">
        <w:rPr>
          <w:rFonts w:ascii="Times New Roman" w:hAnsi="Times New Roman"/>
          <w:szCs w:val="24"/>
        </w:rPr>
        <w:t>od -</w:t>
      </w:r>
      <w:r>
        <w:rPr>
          <w:rFonts w:ascii="Times New Roman" w:hAnsi="Times New Roman"/>
          <w:color w:val="000000" w:themeColor="text1"/>
          <w:szCs w:val="24"/>
        </w:rPr>
        <w:t>2.020.509,25</w:t>
      </w:r>
      <w:r w:rsidRPr="000313B5">
        <w:rPr>
          <w:rFonts w:ascii="Times New Roman" w:hAnsi="Times New Roman"/>
          <w:color w:val="000000" w:themeColor="text1"/>
          <w:szCs w:val="24"/>
        </w:rPr>
        <w:t xml:space="preserve"> </w:t>
      </w:r>
      <w:r w:rsidR="006E66A4">
        <w:rPr>
          <w:rFonts w:ascii="Times New Roman" w:hAnsi="Times New Roman"/>
          <w:color w:val="000000" w:themeColor="text1"/>
          <w:szCs w:val="24"/>
        </w:rPr>
        <w:t>eura</w:t>
      </w:r>
      <w:r w:rsidRPr="000313B5">
        <w:rPr>
          <w:rFonts w:ascii="Times New Roman" w:hAnsi="Times New Roman"/>
          <w:color w:val="000000" w:themeColor="text1"/>
          <w:szCs w:val="24"/>
        </w:rPr>
        <w:t>.</w:t>
      </w:r>
    </w:p>
    <w:p w14:paraId="1ED3B4EF" w14:textId="567B5F33" w:rsidR="00F65C85" w:rsidRPr="00876C33" w:rsidRDefault="00876C33" w:rsidP="00876C33">
      <w:pPr>
        <w:pStyle w:val="NoSpacing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</w:pPr>
      <w:r w:rsidRPr="00876C33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hr-HR"/>
        </w:rPr>
        <w:t xml:space="preserve">Tablica 4. </w:t>
      </w:r>
      <w:r w:rsidR="001E42F0" w:rsidRPr="00876C33">
        <w:rPr>
          <w:rFonts w:ascii="Times New Roman" w:hAnsi="Times New Roman"/>
          <w:b/>
          <w:i/>
          <w:iCs/>
          <w:noProof/>
          <w:sz w:val="18"/>
          <w:szCs w:val="20"/>
        </w:rPr>
        <w:t xml:space="preserve">Porez </w:t>
      </w:r>
      <w:r w:rsidR="00A72F0B" w:rsidRPr="00876C33">
        <w:rPr>
          <w:rFonts w:ascii="Times New Roman" w:hAnsi="Times New Roman"/>
          <w:b/>
          <w:i/>
          <w:iCs/>
          <w:noProof/>
          <w:sz w:val="18"/>
          <w:szCs w:val="20"/>
        </w:rPr>
        <w:t>na dohodak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351"/>
        <w:gridCol w:w="1326"/>
        <w:gridCol w:w="1326"/>
        <w:gridCol w:w="1326"/>
        <w:gridCol w:w="950"/>
        <w:gridCol w:w="950"/>
      </w:tblGrid>
      <w:tr w:rsidR="00F77C76" w:rsidRPr="006F37AD" w14:paraId="55A4B7EE" w14:textId="77777777" w:rsidTr="00F4607B">
        <w:trPr>
          <w:trHeight w:val="810"/>
        </w:trPr>
        <w:tc>
          <w:tcPr>
            <w:tcW w:w="2410" w:type="dxa"/>
            <w:shd w:val="clear" w:color="auto" w:fill="F2F2F2" w:themeFill="background1" w:themeFillShade="F2"/>
            <w:vAlign w:val="center"/>
            <w:hideMark/>
          </w:tcPr>
          <w:p w14:paraId="3AD10227" w14:textId="77777777" w:rsidR="006F37AD" w:rsidRPr="00F4607B" w:rsidRDefault="006F37AD" w:rsidP="006F37AD">
            <w:pPr>
              <w:ind w:firstLineChars="100" w:firstLine="161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Oznaka</w:t>
            </w:r>
          </w:p>
        </w:tc>
        <w:tc>
          <w:tcPr>
            <w:tcW w:w="1351" w:type="dxa"/>
            <w:shd w:val="clear" w:color="auto" w:fill="F2F2F2" w:themeFill="background1" w:themeFillShade="F2"/>
            <w:vAlign w:val="center"/>
            <w:hideMark/>
          </w:tcPr>
          <w:p w14:paraId="7F4C5706" w14:textId="56AE8546" w:rsidR="006F37AD" w:rsidRPr="00F4607B" w:rsidRDefault="00F4607B" w:rsidP="00AD32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Izvršenje </w:t>
            </w:r>
            <w:r w:rsidR="00AD32B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30.06.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AD32B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  <w:r w:rsidR="006F37AD"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26" w:type="dxa"/>
            <w:shd w:val="clear" w:color="auto" w:fill="F2F2F2" w:themeFill="background1" w:themeFillShade="F2"/>
            <w:vAlign w:val="center"/>
            <w:hideMark/>
          </w:tcPr>
          <w:p w14:paraId="2EB37E9C" w14:textId="0D4B5E61" w:rsidR="006F37AD" w:rsidRPr="00F4607B" w:rsidRDefault="006F37AD" w:rsidP="00F77C76">
            <w:pPr>
              <w:ind w:firstLineChars="100" w:firstLine="161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Izvorni plan 202</w:t>
            </w:r>
            <w:r w:rsidR="00AD32B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326" w:type="dxa"/>
            <w:shd w:val="clear" w:color="auto" w:fill="F2F2F2" w:themeFill="background1" w:themeFillShade="F2"/>
            <w:vAlign w:val="center"/>
            <w:hideMark/>
          </w:tcPr>
          <w:p w14:paraId="370D0336" w14:textId="3400F81E" w:rsidR="006F37AD" w:rsidRPr="00F4607B" w:rsidRDefault="006F37AD" w:rsidP="00F77C76">
            <w:pPr>
              <w:ind w:firstLineChars="100" w:firstLine="161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Tekući plan 202</w:t>
            </w:r>
            <w:r w:rsidR="00AD32B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326" w:type="dxa"/>
            <w:shd w:val="clear" w:color="auto" w:fill="F2F2F2" w:themeFill="background1" w:themeFillShade="F2"/>
            <w:vAlign w:val="center"/>
            <w:hideMark/>
          </w:tcPr>
          <w:p w14:paraId="0940EE9C" w14:textId="248779FF" w:rsidR="006F37AD" w:rsidRPr="00F4607B" w:rsidRDefault="00F4607B" w:rsidP="00AD32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Izvršenje</w:t>
            </w:r>
            <w:r w:rsidR="006F37AD"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3</w:t>
            </w:r>
            <w:r w:rsidR="00AD32B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6F37AD"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 w:rsidR="00AD32B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06</w:t>
            </w:r>
            <w:r w:rsidR="006F37AD"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.202</w:t>
            </w:r>
            <w:r w:rsidR="00AD32B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  <w:r w:rsidR="006F37AD"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  <w:hideMark/>
          </w:tcPr>
          <w:p w14:paraId="1B0E8ECC" w14:textId="7C5FDF69" w:rsidR="006F37AD" w:rsidRPr="00F4607B" w:rsidRDefault="006F37AD" w:rsidP="00AD32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Indeks </w:t>
            </w:r>
            <w:r w:rsid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./</w:t>
            </w:r>
            <w:r w:rsid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50" w:type="dxa"/>
            <w:shd w:val="clear" w:color="auto" w:fill="F2F2F2" w:themeFill="background1" w:themeFillShade="F2"/>
            <w:vAlign w:val="center"/>
            <w:hideMark/>
          </w:tcPr>
          <w:p w14:paraId="1888DD76" w14:textId="050AACB2" w:rsidR="006F37AD" w:rsidRPr="00F4607B" w:rsidRDefault="006F37AD" w:rsidP="00AD32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Indeks </w:t>
            </w:r>
            <w:r w:rsid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./</w:t>
            </w:r>
            <w:r w:rsid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F4607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F4607B" w:rsidRPr="006F37AD" w14:paraId="1C04392F" w14:textId="77777777" w:rsidTr="00F4607B">
        <w:trPr>
          <w:trHeight w:val="147"/>
        </w:trPr>
        <w:tc>
          <w:tcPr>
            <w:tcW w:w="2410" w:type="dxa"/>
            <w:shd w:val="clear" w:color="000000" w:fill="FFFFFF"/>
            <w:vAlign w:val="center"/>
          </w:tcPr>
          <w:p w14:paraId="2342879D" w14:textId="47DB4F90" w:rsidR="00F4607B" w:rsidRPr="00F92DC2" w:rsidRDefault="00F4607B" w:rsidP="00F4607B">
            <w:pPr>
              <w:ind w:firstLineChars="100" w:firstLine="10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E47187">
              <w:rPr>
                <w:rFonts w:ascii="Times New Roman" w:hAnsi="Times New Roman"/>
                <w:color w:val="000000"/>
                <w:sz w:val="10"/>
                <w:szCs w:val="10"/>
              </w:rPr>
              <w:t>1</w:t>
            </w:r>
            <w:r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1351" w:type="dxa"/>
            <w:shd w:val="clear" w:color="000000" w:fill="FFFFFF"/>
            <w:vAlign w:val="center"/>
          </w:tcPr>
          <w:p w14:paraId="4A596043" w14:textId="43882486" w:rsidR="00F4607B" w:rsidRPr="00F92DC2" w:rsidRDefault="00F4607B" w:rsidP="00F4607B">
            <w:pPr>
              <w:ind w:firstLineChars="100" w:firstLine="10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E47187">
              <w:rPr>
                <w:rFonts w:ascii="Times New Roman" w:hAnsi="Times New Roman"/>
                <w:color w:val="000000"/>
                <w:sz w:val="10"/>
                <w:szCs w:val="10"/>
              </w:rPr>
              <w:t>2</w:t>
            </w:r>
            <w:r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1326" w:type="dxa"/>
            <w:shd w:val="clear" w:color="000000" w:fill="FFFFFF"/>
            <w:vAlign w:val="center"/>
          </w:tcPr>
          <w:p w14:paraId="61CEB617" w14:textId="58EE0105" w:rsidR="00F4607B" w:rsidRPr="00F92DC2" w:rsidRDefault="00F4607B" w:rsidP="00F4607B">
            <w:pPr>
              <w:ind w:firstLineChars="100" w:firstLine="10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3.</w:t>
            </w:r>
          </w:p>
        </w:tc>
        <w:tc>
          <w:tcPr>
            <w:tcW w:w="1326" w:type="dxa"/>
            <w:shd w:val="clear" w:color="000000" w:fill="FFFFFF"/>
            <w:vAlign w:val="center"/>
          </w:tcPr>
          <w:p w14:paraId="522C82B2" w14:textId="3DA9FC93" w:rsidR="00F4607B" w:rsidRPr="00F92DC2" w:rsidRDefault="00F4607B" w:rsidP="00F4607B">
            <w:pPr>
              <w:ind w:firstLineChars="100" w:firstLine="10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E47187">
              <w:rPr>
                <w:rFonts w:ascii="Times New Roman" w:hAnsi="Times New Roman"/>
                <w:color w:val="000000"/>
                <w:sz w:val="10"/>
                <w:szCs w:val="10"/>
              </w:rPr>
              <w:t>4</w:t>
            </w:r>
            <w:r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1326" w:type="dxa"/>
            <w:shd w:val="clear" w:color="000000" w:fill="FFFFFF"/>
            <w:vAlign w:val="center"/>
          </w:tcPr>
          <w:p w14:paraId="109EC78D" w14:textId="3D4B727D" w:rsidR="00F4607B" w:rsidRPr="00F92DC2" w:rsidRDefault="00F4607B" w:rsidP="00F4607B">
            <w:pPr>
              <w:ind w:firstLineChars="100" w:firstLine="10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E47187">
              <w:rPr>
                <w:rFonts w:ascii="Times New Roman" w:hAnsi="Times New Roman"/>
                <w:color w:val="000000"/>
                <w:sz w:val="10"/>
                <w:szCs w:val="10"/>
              </w:rPr>
              <w:t>5</w:t>
            </w:r>
            <w:r>
              <w:rPr>
                <w:rFonts w:ascii="Times New Roman" w:hAnsi="Times New Roman"/>
                <w:color w:val="000000"/>
                <w:sz w:val="10"/>
                <w:szCs w:val="10"/>
              </w:rPr>
              <w:t>.</w:t>
            </w:r>
          </w:p>
        </w:tc>
        <w:tc>
          <w:tcPr>
            <w:tcW w:w="950" w:type="dxa"/>
            <w:shd w:val="clear" w:color="000000" w:fill="FFFFFF"/>
            <w:vAlign w:val="center"/>
          </w:tcPr>
          <w:p w14:paraId="365A1A61" w14:textId="6A975424" w:rsidR="00F4607B" w:rsidRPr="00F92DC2" w:rsidRDefault="00F4607B" w:rsidP="00F4607B">
            <w:pPr>
              <w:ind w:firstLineChars="100" w:firstLine="100"/>
              <w:jc w:val="center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6.</w:t>
            </w:r>
          </w:p>
        </w:tc>
        <w:tc>
          <w:tcPr>
            <w:tcW w:w="950" w:type="dxa"/>
            <w:shd w:val="clear" w:color="000000" w:fill="FFFFFF"/>
            <w:vAlign w:val="center"/>
          </w:tcPr>
          <w:p w14:paraId="39B2D0E2" w14:textId="41D59E1D" w:rsidR="00F4607B" w:rsidRPr="00F92DC2" w:rsidRDefault="00F4607B" w:rsidP="00F4607B">
            <w:pPr>
              <w:ind w:firstLineChars="100" w:firstLine="10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7.</w:t>
            </w:r>
          </w:p>
        </w:tc>
      </w:tr>
      <w:tr w:rsidR="00AD32B7" w:rsidRPr="006F37AD" w14:paraId="4E486896" w14:textId="77777777" w:rsidTr="00AD32B7">
        <w:trPr>
          <w:trHeight w:val="240"/>
        </w:trPr>
        <w:tc>
          <w:tcPr>
            <w:tcW w:w="2410" w:type="dxa"/>
            <w:shd w:val="clear" w:color="auto" w:fill="F2F2F2" w:themeFill="background1" w:themeFillShade="F2"/>
            <w:vAlign w:val="center"/>
            <w:hideMark/>
          </w:tcPr>
          <w:p w14:paraId="2B310AEA" w14:textId="77777777" w:rsidR="00AD32B7" w:rsidRPr="00AD32B7" w:rsidRDefault="00AD32B7" w:rsidP="00AD32B7">
            <w:pPr>
              <w:ind w:firstLineChars="100" w:firstLine="141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SVEUKUPNO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37C8A9A" w14:textId="55F44F3D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3.690.227,47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BDDF663" w14:textId="00B82C20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11.926.991,00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D41EF88" w14:textId="67481B83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11.926.991,00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58F1DC1" w14:textId="4379DFEC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4.301.955,19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E755DF0" w14:textId="7774BE78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116,58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7A19E73" w14:textId="4C333A21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36,07</w:t>
            </w:r>
          </w:p>
        </w:tc>
      </w:tr>
      <w:tr w:rsidR="00AD32B7" w:rsidRPr="006F37AD" w14:paraId="41AFD225" w14:textId="77777777" w:rsidTr="00AD32B7">
        <w:trPr>
          <w:trHeight w:val="24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4AE10EEB" w14:textId="77777777" w:rsidR="00AD32B7" w:rsidRPr="00F92DC2" w:rsidRDefault="00AD32B7" w:rsidP="00AD32B7">
            <w:pP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92DC2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 PRIHODI POSLOVANJA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0631B3" w14:textId="042B5906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3.690.227,47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AD8230" w14:textId="20C9DD5F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11.926.991,00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681CF7" w14:textId="1E2E274C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11.926.991,00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C0C0A" w14:textId="68C5A3AC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4.301.955,19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D6D372" w14:textId="0205A78C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116,58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7A80E6" w14:textId="50586742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36,07</w:t>
            </w:r>
          </w:p>
        </w:tc>
      </w:tr>
      <w:tr w:rsidR="00AD32B7" w:rsidRPr="006F37AD" w14:paraId="1454F721" w14:textId="77777777" w:rsidTr="00AD32B7">
        <w:trPr>
          <w:trHeight w:val="24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111DA013" w14:textId="77777777" w:rsidR="00AD32B7" w:rsidRPr="00F92DC2" w:rsidRDefault="00AD32B7" w:rsidP="00AD32B7">
            <w:pP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92DC2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61 PRIHODI OD POREZA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92A915" w14:textId="085BF42F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3.690.227,47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6D5C99" w14:textId="5FEC807A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11.926.991,00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64ED9" w14:textId="038163D3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11.926.991,00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8B98A7" w14:textId="30FCD48F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4.301.955,19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6BEC87" w14:textId="57719E97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116,58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DB0D0" w14:textId="2774D92A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36,07</w:t>
            </w:r>
          </w:p>
        </w:tc>
      </w:tr>
      <w:tr w:rsidR="00AD32B7" w:rsidRPr="006F37AD" w14:paraId="674847F5" w14:textId="77777777" w:rsidTr="00AD32B7">
        <w:trPr>
          <w:trHeight w:val="24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1A995F1E" w14:textId="77777777" w:rsidR="00AD32B7" w:rsidRPr="00F92DC2" w:rsidRDefault="00AD32B7" w:rsidP="00AD32B7">
            <w:pPr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F92DC2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611 Porez na dohodak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2C93C" w14:textId="6CB0372F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3.690.227,47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EB346" w14:textId="62BE2620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11.926.991,00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07247" w14:textId="5433F8D2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11.926.991,00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6CCC5D" w14:textId="13FD85FA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4.301.955,19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E8B299" w14:textId="0AA5D7ED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116,58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1874DF" w14:textId="5993874A" w:rsidR="00AD32B7" w:rsidRPr="00AD32B7" w:rsidRDefault="00AD32B7" w:rsidP="00AD32B7">
            <w:pPr>
              <w:ind w:firstLineChars="100" w:firstLine="141"/>
              <w:jc w:val="right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36,07</w:t>
            </w:r>
          </w:p>
        </w:tc>
      </w:tr>
      <w:tr w:rsidR="00AD32B7" w:rsidRPr="006F37AD" w14:paraId="0D889448" w14:textId="77777777" w:rsidTr="00AD32B7">
        <w:trPr>
          <w:trHeight w:val="24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5AFD5DA4" w14:textId="77777777" w:rsidR="00AD32B7" w:rsidRPr="00F92DC2" w:rsidRDefault="00AD32B7" w:rsidP="00AD32B7">
            <w:pPr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92DC2">
              <w:rPr>
                <w:rFonts w:ascii="Times New Roman" w:hAnsi="Times New Roman"/>
                <w:color w:val="000000"/>
                <w:sz w:val="14"/>
                <w:szCs w:val="14"/>
              </w:rPr>
              <w:t>6111 Porez na dohodak od nesamostalnog rada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FE3C09" w14:textId="78FB71D3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4.965.559,92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520ED7" w14:textId="083427CC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13.176.991,00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104BB0" w14:textId="6E953628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13.176.991,00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462E6" w14:textId="065EA5C7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5.948.493,78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C2E1BB" w14:textId="44F9AF8C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119,8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5A840C" w14:textId="0CADFE1D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45,14</w:t>
            </w:r>
          </w:p>
        </w:tc>
      </w:tr>
      <w:tr w:rsidR="00AD32B7" w:rsidRPr="006F37AD" w14:paraId="771EDC78" w14:textId="77777777" w:rsidTr="00AD32B7">
        <w:trPr>
          <w:trHeight w:val="24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4BAD526A" w14:textId="77777777" w:rsidR="00AD32B7" w:rsidRPr="00F92DC2" w:rsidRDefault="00AD32B7" w:rsidP="00AD32B7">
            <w:pPr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92DC2">
              <w:rPr>
                <w:rFonts w:ascii="Times New Roman" w:hAnsi="Times New Roman"/>
                <w:color w:val="000000"/>
                <w:sz w:val="14"/>
                <w:szCs w:val="14"/>
              </w:rPr>
              <w:t>6115 Porez na dohodak po godišnjoj prijavi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3F988E" w14:textId="6556B5AC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293.874,68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CC5694" w14:textId="5470F4FF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400.000,00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2412F" w14:textId="4CDCC9A2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400.000,00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2B849D" w14:textId="4928DFBC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373.970,66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8B3B06" w14:textId="0DFC1C60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127,26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433AA" w14:textId="779CD655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93,49</w:t>
            </w:r>
          </w:p>
        </w:tc>
      </w:tr>
      <w:tr w:rsidR="00AD32B7" w:rsidRPr="006F37AD" w14:paraId="158EF23A" w14:textId="77777777" w:rsidTr="00AD32B7">
        <w:trPr>
          <w:trHeight w:val="420"/>
        </w:trPr>
        <w:tc>
          <w:tcPr>
            <w:tcW w:w="2410" w:type="dxa"/>
            <w:shd w:val="clear" w:color="000000" w:fill="FFFFFF"/>
            <w:vAlign w:val="center"/>
            <w:hideMark/>
          </w:tcPr>
          <w:p w14:paraId="75FCCE05" w14:textId="77777777" w:rsidR="00AD32B7" w:rsidRPr="00F92DC2" w:rsidRDefault="00AD32B7" w:rsidP="00AD32B7">
            <w:pPr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F92DC2">
              <w:rPr>
                <w:rFonts w:ascii="Times New Roman" w:hAnsi="Times New Roman"/>
                <w:color w:val="000000"/>
                <w:sz w:val="14"/>
                <w:szCs w:val="14"/>
              </w:rPr>
              <w:t>6117 Povrat poreza na dohodak po godišnjoj prijavi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787B57" w14:textId="213E0189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-1.569.207,13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0BD9A" w14:textId="0886AA53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-1.650.000,00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16A6AB" w14:textId="21404877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-1.650.000,00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04D35A" w14:textId="4851A76E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-2.020.509,25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2CE661" w14:textId="7B200FE3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128,76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8F0A68" w14:textId="7F1FE0B5" w:rsidR="00AD32B7" w:rsidRPr="00AD32B7" w:rsidRDefault="00AD32B7" w:rsidP="00AD32B7">
            <w:pPr>
              <w:ind w:firstLineChars="100" w:firstLine="140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AD32B7">
              <w:rPr>
                <w:rFonts w:ascii="Times New Roman" w:hAnsi="Times New Roman"/>
                <w:color w:val="000000"/>
                <w:sz w:val="14"/>
                <w:szCs w:val="14"/>
              </w:rPr>
              <w:t>122,46</w:t>
            </w:r>
          </w:p>
        </w:tc>
      </w:tr>
    </w:tbl>
    <w:p w14:paraId="27EF689F" w14:textId="77777777" w:rsidR="009B27B8" w:rsidRDefault="009B27B8" w:rsidP="00A72F0B">
      <w:pPr>
        <w:tabs>
          <w:tab w:val="center" w:pos="6663"/>
        </w:tabs>
        <w:jc w:val="both"/>
        <w:rPr>
          <w:rFonts w:ascii="Times New Roman" w:hAnsi="Times New Roman"/>
          <w:bCs/>
          <w:noProof/>
          <w:sz w:val="20"/>
        </w:rPr>
      </w:pPr>
    </w:p>
    <w:p w14:paraId="66466319" w14:textId="3CE20B98" w:rsidR="00597194" w:rsidRPr="00BD7CA1" w:rsidRDefault="00F452AD" w:rsidP="002B38F5">
      <w:pPr>
        <w:tabs>
          <w:tab w:val="left" w:pos="567"/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ab/>
      </w:r>
      <w:r w:rsidR="00597194" w:rsidRPr="00BD7CA1">
        <w:rPr>
          <w:rFonts w:ascii="Times New Roman" w:hAnsi="Times New Roman"/>
          <w:bCs/>
          <w:noProof/>
          <w:szCs w:val="24"/>
        </w:rPr>
        <w:tab/>
        <w:t>Porez na nasljedstva i darove koji varira kroz godine bilježi pad za 56,31 % u odnosu na obračunsko razdoblje prošle godine, a u odnosu na plan ove godine ostvarenje je 32,92 % . Isti je teško procijeniti  jer obveza plaćanja poreza na nasljedstva i darove nastaje u trenutku pravomoćnosti rješenja o nasljeđivanju ili odluke javnopravnog tijela ili suda u trenutku primitka dara. Osnovicu poreza na nasljedstva i darove utvrđuje nadležno porezno tijelo. Porez na nasljedstva i darove plaća se po stopi od 4%.</w:t>
      </w:r>
    </w:p>
    <w:p w14:paraId="0F0384A9" w14:textId="3C140327" w:rsidR="00BD7CA1" w:rsidRDefault="00597194" w:rsidP="002B38F5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Cs/>
          <w:noProof/>
          <w:color w:val="FF0000"/>
          <w:szCs w:val="24"/>
        </w:rPr>
      </w:pPr>
      <w:r w:rsidRPr="00BD7CA1">
        <w:rPr>
          <w:rFonts w:ascii="Times New Roman" w:hAnsi="Times New Roman"/>
          <w:bCs/>
          <w:noProof/>
          <w:szCs w:val="24"/>
        </w:rPr>
        <w:tab/>
        <w:t>U odnosu na promatrano razdoblje prošle godine porez na cestovna motorna vozila u blagom je porastu za 8,29 %, a u odnosu na plan ostvarenje je 49,7</w:t>
      </w:r>
      <w:r w:rsidR="00BD7CA1" w:rsidRPr="00BD7CA1">
        <w:rPr>
          <w:rFonts w:ascii="Times New Roman" w:hAnsi="Times New Roman"/>
          <w:bCs/>
          <w:noProof/>
          <w:szCs w:val="24"/>
        </w:rPr>
        <w:t>6</w:t>
      </w:r>
      <w:r w:rsidRPr="00BD7CA1">
        <w:rPr>
          <w:rFonts w:ascii="Times New Roman" w:hAnsi="Times New Roman"/>
          <w:bCs/>
          <w:noProof/>
          <w:szCs w:val="24"/>
        </w:rPr>
        <w:t xml:space="preserve"> %.</w:t>
      </w:r>
      <w:r w:rsidR="00BD7CA1" w:rsidRPr="00BD7CA1">
        <w:rPr>
          <w:rFonts w:ascii="Times New Roman" w:hAnsi="Times New Roman"/>
          <w:bCs/>
          <w:noProof/>
          <w:szCs w:val="24"/>
        </w:rPr>
        <w:t xml:space="preserve"> </w:t>
      </w:r>
      <w:r w:rsidRPr="00BD7CA1">
        <w:rPr>
          <w:rFonts w:ascii="Times New Roman" w:hAnsi="Times New Roman"/>
          <w:bCs/>
          <w:noProof/>
          <w:szCs w:val="24"/>
        </w:rPr>
        <w:t>Porez na automate i zabavne igre u odnosu na prošlogodišnje izvršenje manji za 33,40</w:t>
      </w:r>
      <w:r w:rsidR="00BD7CA1" w:rsidRPr="00BD7CA1">
        <w:rPr>
          <w:rFonts w:ascii="Times New Roman" w:hAnsi="Times New Roman"/>
          <w:bCs/>
          <w:noProof/>
          <w:szCs w:val="24"/>
        </w:rPr>
        <w:t xml:space="preserve"> </w:t>
      </w:r>
      <w:r w:rsidRPr="00BD7CA1">
        <w:rPr>
          <w:rFonts w:ascii="Times New Roman" w:hAnsi="Times New Roman"/>
          <w:bCs/>
          <w:noProof/>
          <w:szCs w:val="24"/>
        </w:rPr>
        <w:t>%, a u odnosu na plan izvršenje je 32,54</w:t>
      </w:r>
      <w:r w:rsidR="00BD7CA1" w:rsidRPr="00BD7CA1">
        <w:rPr>
          <w:rFonts w:ascii="Times New Roman" w:hAnsi="Times New Roman"/>
          <w:bCs/>
          <w:noProof/>
          <w:szCs w:val="24"/>
        </w:rPr>
        <w:t xml:space="preserve"> </w:t>
      </w:r>
      <w:r w:rsidRPr="00BD7CA1">
        <w:rPr>
          <w:rFonts w:ascii="Times New Roman" w:hAnsi="Times New Roman"/>
          <w:bCs/>
          <w:noProof/>
          <w:szCs w:val="24"/>
        </w:rPr>
        <w:t xml:space="preserve">%. </w:t>
      </w:r>
    </w:p>
    <w:p w14:paraId="08C41D21" w14:textId="5BB8DED9" w:rsidR="00BD7CA1" w:rsidRPr="00930037" w:rsidRDefault="00BD7CA1" w:rsidP="00930037">
      <w:pPr>
        <w:tabs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Cs/>
          <w:noProof/>
          <w:color w:val="FF0000"/>
          <w:szCs w:val="24"/>
        </w:rPr>
        <w:lastRenderedPageBreak/>
        <w:tab/>
      </w:r>
      <w:r w:rsidR="00B73B12" w:rsidRPr="00370CD0">
        <w:rPr>
          <w:rFonts w:ascii="Times New Roman" w:hAnsi="Times New Roman"/>
          <w:b/>
          <w:bCs/>
          <w:noProof/>
          <w:szCs w:val="24"/>
        </w:rPr>
        <w:t>Pomoći iz inozemstva i od subjekata unutar općeg proračuna</w:t>
      </w:r>
      <w:r w:rsidR="00B73B12" w:rsidRPr="00370CD0">
        <w:rPr>
          <w:rFonts w:ascii="Times New Roman" w:hAnsi="Times New Roman"/>
          <w:bCs/>
          <w:noProof/>
          <w:szCs w:val="24"/>
        </w:rPr>
        <w:t xml:space="preserve"> </w:t>
      </w:r>
      <w:r w:rsidRPr="00BD7CA1">
        <w:rPr>
          <w:rFonts w:ascii="Times New Roman" w:hAnsi="Times New Roman"/>
          <w:bCs/>
          <w:noProof/>
          <w:szCs w:val="24"/>
        </w:rPr>
        <w:t>ostvarene su u visini 30.249.420,24 eura što je više za  10,05 % u odnosu na prošlu godinu, a 42,33 % u odnosu na plan.  Pomoći proračunu iz drugih proračuna i izvanproračunskim korisnicima ostvarene su za 19,56 % manje u odnosu na prošlu godinu, a</w:t>
      </w:r>
      <w:r w:rsidR="00930037">
        <w:rPr>
          <w:rFonts w:ascii="Times New Roman" w:hAnsi="Times New Roman"/>
          <w:bCs/>
          <w:noProof/>
          <w:szCs w:val="24"/>
        </w:rPr>
        <w:t xml:space="preserve"> ostvarenje</w:t>
      </w:r>
      <w:r w:rsidRPr="00BD7CA1">
        <w:rPr>
          <w:rFonts w:ascii="Times New Roman" w:hAnsi="Times New Roman"/>
          <w:bCs/>
          <w:noProof/>
          <w:szCs w:val="24"/>
        </w:rPr>
        <w:t xml:space="preserve"> u odnosu na plan je 36,62 %. </w:t>
      </w:r>
      <w:r w:rsidRPr="004C54A0">
        <w:rPr>
          <w:rFonts w:ascii="Times New Roman" w:hAnsi="Times New Roman"/>
          <w:bCs/>
          <w:noProof/>
          <w:szCs w:val="24"/>
        </w:rPr>
        <w:t xml:space="preserve">U promatranom obračunskom razdoblju u okviru ovih pomoći značajnije odstupanje u odnosu na promatrano razdoblje prošle godine iskazano je na kapitalnim pomoćima iz Državnog proračuna </w:t>
      </w:r>
      <w:r w:rsidR="004C54A0" w:rsidRPr="004C54A0">
        <w:rPr>
          <w:rFonts w:ascii="Times New Roman" w:hAnsi="Times New Roman"/>
          <w:bCs/>
          <w:noProof/>
          <w:szCs w:val="24"/>
        </w:rPr>
        <w:t xml:space="preserve">za povećanje od </w:t>
      </w:r>
      <w:r w:rsidRPr="004C54A0">
        <w:rPr>
          <w:rFonts w:ascii="Times New Roman" w:hAnsi="Times New Roman"/>
          <w:bCs/>
          <w:noProof/>
          <w:szCs w:val="24"/>
        </w:rPr>
        <w:t xml:space="preserve">472,96 %. Navedeno povećanje u najvećoj mjeri odnosi se na doznačena sredstva Ministarstva turizma u iznosu od 370.470,00 </w:t>
      </w:r>
      <w:r w:rsidR="004C54A0" w:rsidRPr="004C54A0">
        <w:rPr>
          <w:rFonts w:ascii="Times New Roman" w:hAnsi="Times New Roman"/>
          <w:bCs/>
          <w:noProof/>
          <w:szCs w:val="24"/>
        </w:rPr>
        <w:t>eura</w:t>
      </w:r>
      <w:r w:rsidRPr="004C54A0">
        <w:rPr>
          <w:rFonts w:ascii="Times New Roman" w:hAnsi="Times New Roman"/>
          <w:bCs/>
          <w:noProof/>
          <w:szCs w:val="24"/>
        </w:rPr>
        <w:t xml:space="preserve"> za sufinanciranje rekonstrukcije dvorane četiri srednje škole u Bjelovaru te multifunkcionalno igralište u Kukavici u iznosu od 34.500,00 </w:t>
      </w:r>
      <w:r w:rsidR="004C54A0" w:rsidRPr="004C54A0">
        <w:rPr>
          <w:rFonts w:ascii="Times New Roman" w:hAnsi="Times New Roman"/>
          <w:bCs/>
          <w:noProof/>
          <w:szCs w:val="24"/>
        </w:rPr>
        <w:t>eura</w:t>
      </w:r>
      <w:r w:rsidRPr="004C54A0">
        <w:rPr>
          <w:rFonts w:ascii="Times New Roman" w:hAnsi="Times New Roman"/>
          <w:bCs/>
          <w:noProof/>
          <w:szCs w:val="24"/>
        </w:rPr>
        <w:t xml:space="preserve">. </w:t>
      </w:r>
    </w:p>
    <w:p w14:paraId="4DA605BF" w14:textId="2782EFEB" w:rsidR="002C5688" w:rsidRDefault="002C5688" w:rsidP="002B38F5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/>
          <w:noProof/>
          <w:szCs w:val="24"/>
        </w:rPr>
        <w:tab/>
      </w:r>
      <w:r w:rsidRPr="00B1209D">
        <w:rPr>
          <w:rFonts w:ascii="Times New Roman" w:hAnsi="Times New Roman"/>
          <w:b/>
          <w:noProof/>
          <w:szCs w:val="24"/>
        </w:rPr>
        <w:t>Pomoći od izvanproračusnkih korisnika</w:t>
      </w:r>
      <w:r>
        <w:rPr>
          <w:rFonts w:ascii="Times New Roman" w:hAnsi="Times New Roman"/>
          <w:bCs/>
          <w:noProof/>
          <w:szCs w:val="24"/>
        </w:rPr>
        <w:t xml:space="preserve"> ostvarene su u iznosu od 156.069,67 eura</w:t>
      </w:r>
      <w:r w:rsidR="00985973">
        <w:rPr>
          <w:rFonts w:ascii="Times New Roman" w:hAnsi="Times New Roman"/>
          <w:bCs/>
          <w:noProof/>
          <w:szCs w:val="24"/>
        </w:rPr>
        <w:t xml:space="preserve">, odnosno 5,04 % manje u odnosu na </w:t>
      </w:r>
      <w:r>
        <w:rPr>
          <w:rFonts w:ascii="Times New Roman" w:hAnsi="Times New Roman"/>
          <w:bCs/>
          <w:noProof/>
          <w:szCs w:val="24"/>
        </w:rPr>
        <w:t>ostvarenj</w:t>
      </w:r>
      <w:r w:rsidR="00985973">
        <w:rPr>
          <w:rFonts w:ascii="Times New Roman" w:hAnsi="Times New Roman"/>
          <w:bCs/>
          <w:noProof/>
          <w:szCs w:val="24"/>
        </w:rPr>
        <w:t>e</w:t>
      </w:r>
      <w:r>
        <w:rPr>
          <w:rFonts w:ascii="Times New Roman" w:hAnsi="Times New Roman"/>
          <w:bCs/>
          <w:noProof/>
          <w:szCs w:val="24"/>
        </w:rPr>
        <w:t xml:space="preserve"> prošle godine, dok su u ovom obračunskom razdoblju </w:t>
      </w:r>
      <w:r w:rsidR="00985973">
        <w:rPr>
          <w:rFonts w:ascii="Times New Roman" w:hAnsi="Times New Roman"/>
          <w:bCs/>
          <w:noProof/>
          <w:szCs w:val="24"/>
        </w:rPr>
        <w:t>bilježi ostvarenje od 54,00 % u odnosu na plan.</w:t>
      </w:r>
    </w:p>
    <w:p w14:paraId="75375024" w14:textId="68FCE881" w:rsidR="002C5688" w:rsidRDefault="002C5688" w:rsidP="002B38F5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ab/>
      </w:r>
      <w:r w:rsidRPr="00B1209D">
        <w:rPr>
          <w:rFonts w:ascii="Times New Roman" w:hAnsi="Times New Roman"/>
          <w:b/>
          <w:noProof/>
          <w:szCs w:val="24"/>
        </w:rPr>
        <w:t>Pomoći izravnanja za decentralizacije funkcije i funkcije fiskalnog izravnanja</w:t>
      </w:r>
      <w:r>
        <w:rPr>
          <w:rFonts w:ascii="Times New Roman" w:hAnsi="Times New Roman"/>
          <w:bCs/>
          <w:noProof/>
          <w:szCs w:val="24"/>
        </w:rPr>
        <w:t xml:space="preserve"> u odnosu na prošlu godinu povećane su za 39,03</w:t>
      </w:r>
      <w:r w:rsidR="00FF1187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>% u najvećoj mjeri zahvaljujući sredstvima fiskalnog izravnanja koja su sukladno novom Pravilniku o proračunskom računovodstvu i računskom planu iskazana u okviru podskupine. U prvom polugodištu ove godine ostvarenje je u skladu s planom</w:t>
      </w:r>
      <w:r w:rsidR="00FF1187">
        <w:rPr>
          <w:rFonts w:ascii="Times New Roman" w:hAnsi="Times New Roman"/>
          <w:bCs/>
          <w:noProof/>
          <w:szCs w:val="24"/>
        </w:rPr>
        <w:t xml:space="preserve"> odnosno 51,46 %</w:t>
      </w:r>
      <w:r>
        <w:rPr>
          <w:rFonts w:ascii="Times New Roman" w:hAnsi="Times New Roman"/>
          <w:bCs/>
          <w:noProof/>
          <w:szCs w:val="24"/>
        </w:rPr>
        <w:t>.</w:t>
      </w:r>
    </w:p>
    <w:p w14:paraId="660A7A86" w14:textId="28EE2A8F" w:rsidR="002C5688" w:rsidRDefault="002C5688" w:rsidP="002B38F5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ab/>
      </w:r>
      <w:r w:rsidRPr="00B1209D">
        <w:rPr>
          <w:rFonts w:ascii="Times New Roman" w:hAnsi="Times New Roman"/>
          <w:b/>
          <w:noProof/>
          <w:szCs w:val="24"/>
        </w:rPr>
        <w:t>Pomoći proračunskim korisnicima iz proračuna koji im nije nadležan</w:t>
      </w:r>
      <w:r>
        <w:rPr>
          <w:rFonts w:ascii="Times New Roman" w:hAnsi="Times New Roman"/>
          <w:bCs/>
          <w:noProof/>
          <w:szCs w:val="24"/>
        </w:rPr>
        <w:t xml:space="preserve"> ostvarene su za</w:t>
      </w:r>
      <w:r w:rsidR="00A87973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>11,06</w:t>
      </w:r>
      <w:r w:rsidR="00A87973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>% više u odnosu na isto razdoblje prošle godine</w:t>
      </w:r>
      <w:r w:rsidR="005E36AB">
        <w:rPr>
          <w:rFonts w:ascii="Times New Roman" w:hAnsi="Times New Roman"/>
          <w:bCs/>
          <w:noProof/>
          <w:szCs w:val="24"/>
        </w:rPr>
        <w:t>, dok u ovom obračunskom razdoblju bilježi ostvarenje od 48,83 % u odnosu na plan</w:t>
      </w:r>
      <w:r>
        <w:rPr>
          <w:rFonts w:ascii="Times New Roman" w:hAnsi="Times New Roman"/>
          <w:bCs/>
          <w:noProof/>
          <w:szCs w:val="24"/>
        </w:rPr>
        <w:t>. Uglavnom su to doznake nadležnog Ministarstva za plaće</w:t>
      </w:r>
      <w:r w:rsidR="00A87973">
        <w:rPr>
          <w:rFonts w:ascii="Times New Roman" w:hAnsi="Times New Roman"/>
          <w:bCs/>
          <w:noProof/>
          <w:szCs w:val="24"/>
        </w:rPr>
        <w:t xml:space="preserve"> zaposlenika</w:t>
      </w:r>
      <w:r w:rsidR="00007DC6">
        <w:rPr>
          <w:rFonts w:ascii="Times New Roman" w:hAnsi="Times New Roman"/>
          <w:bCs/>
          <w:noProof/>
          <w:szCs w:val="24"/>
        </w:rPr>
        <w:t xml:space="preserve">, </w:t>
      </w:r>
      <w:r w:rsidR="00A87973">
        <w:rPr>
          <w:rFonts w:ascii="Times New Roman" w:hAnsi="Times New Roman"/>
          <w:bCs/>
          <w:noProof/>
          <w:szCs w:val="24"/>
        </w:rPr>
        <w:t>materijalna prava zaposlenih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A87973">
        <w:rPr>
          <w:rFonts w:ascii="Times New Roman" w:hAnsi="Times New Roman"/>
          <w:bCs/>
          <w:noProof/>
          <w:szCs w:val="24"/>
        </w:rPr>
        <w:t xml:space="preserve">kod proračunskih </w:t>
      </w:r>
      <w:r>
        <w:rPr>
          <w:rFonts w:ascii="Times New Roman" w:hAnsi="Times New Roman"/>
          <w:bCs/>
          <w:noProof/>
          <w:szCs w:val="24"/>
        </w:rPr>
        <w:t>korisnika</w:t>
      </w:r>
      <w:r w:rsidR="00A87973">
        <w:rPr>
          <w:rFonts w:ascii="Times New Roman" w:hAnsi="Times New Roman"/>
          <w:bCs/>
          <w:noProof/>
          <w:szCs w:val="24"/>
        </w:rPr>
        <w:t xml:space="preserve"> </w:t>
      </w:r>
      <w:r w:rsidR="00007DC6">
        <w:rPr>
          <w:rFonts w:ascii="Times New Roman" w:hAnsi="Times New Roman"/>
          <w:bCs/>
          <w:noProof/>
          <w:szCs w:val="24"/>
        </w:rPr>
        <w:t xml:space="preserve">te </w:t>
      </w:r>
      <w:r w:rsidR="00A87973">
        <w:rPr>
          <w:rFonts w:ascii="Times New Roman" w:hAnsi="Times New Roman"/>
          <w:bCs/>
          <w:noProof/>
          <w:szCs w:val="24"/>
        </w:rPr>
        <w:t>ugovori o djelu</w:t>
      </w:r>
      <w:r>
        <w:rPr>
          <w:rFonts w:ascii="Times New Roman" w:hAnsi="Times New Roman"/>
          <w:bCs/>
          <w:noProof/>
          <w:szCs w:val="24"/>
        </w:rPr>
        <w:t xml:space="preserve">, </w:t>
      </w:r>
      <w:r w:rsidR="00007DC6">
        <w:rPr>
          <w:rFonts w:ascii="Times New Roman" w:hAnsi="Times New Roman"/>
          <w:bCs/>
          <w:noProof/>
          <w:szCs w:val="24"/>
        </w:rPr>
        <w:t>doznak</w:t>
      </w:r>
      <w:r w:rsidR="005E36AB">
        <w:rPr>
          <w:rFonts w:ascii="Times New Roman" w:hAnsi="Times New Roman"/>
          <w:bCs/>
          <w:noProof/>
          <w:szCs w:val="24"/>
        </w:rPr>
        <w:t>e</w:t>
      </w:r>
      <w:r w:rsidR="00007DC6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>općina i gradova proračunskim korisnicima za sufinanciranje produženog boravka u školi,</w:t>
      </w:r>
      <w:r w:rsidR="00285A04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>provođenje erasmus projektata te ostal</w:t>
      </w:r>
      <w:r w:rsidR="005E36AB">
        <w:rPr>
          <w:rFonts w:ascii="Times New Roman" w:hAnsi="Times New Roman"/>
          <w:bCs/>
          <w:noProof/>
          <w:szCs w:val="24"/>
        </w:rPr>
        <w:t>e</w:t>
      </w:r>
      <w:r>
        <w:rPr>
          <w:rFonts w:ascii="Times New Roman" w:hAnsi="Times New Roman"/>
          <w:bCs/>
          <w:noProof/>
          <w:szCs w:val="24"/>
        </w:rPr>
        <w:t xml:space="preserve"> slič</w:t>
      </w:r>
      <w:r w:rsidR="005E36AB">
        <w:rPr>
          <w:rFonts w:ascii="Times New Roman" w:hAnsi="Times New Roman"/>
          <w:bCs/>
          <w:noProof/>
          <w:szCs w:val="24"/>
        </w:rPr>
        <w:t>ne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007DC6">
        <w:rPr>
          <w:rFonts w:ascii="Times New Roman" w:hAnsi="Times New Roman"/>
          <w:bCs/>
          <w:noProof/>
          <w:szCs w:val="24"/>
        </w:rPr>
        <w:t>uplat</w:t>
      </w:r>
      <w:r w:rsidR="005E36AB">
        <w:rPr>
          <w:rFonts w:ascii="Times New Roman" w:hAnsi="Times New Roman"/>
          <w:bCs/>
          <w:noProof/>
          <w:szCs w:val="24"/>
        </w:rPr>
        <w:t>e</w:t>
      </w:r>
      <w:r>
        <w:rPr>
          <w:rFonts w:ascii="Times New Roman" w:hAnsi="Times New Roman"/>
          <w:bCs/>
          <w:noProof/>
          <w:szCs w:val="24"/>
        </w:rPr>
        <w:t xml:space="preserve">. Kapitalne pomoći proračunskim korisnicima iz proračuna JLPRS </w:t>
      </w:r>
      <w:r w:rsidRPr="00122354">
        <w:rPr>
          <w:rFonts w:ascii="Times New Roman" w:hAnsi="Times New Roman"/>
          <w:bCs/>
          <w:noProof/>
          <w:szCs w:val="24"/>
        </w:rPr>
        <w:t>iskazao</w:t>
      </w:r>
      <w:r>
        <w:rPr>
          <w:rFonts w:ascii="Times New Roman" w:hAnsi="Times New Roman"/>
          <w:bCs/>
          <w:noProof/>
          <w:szCs w:val="24"/>
        </w:rPr>
        <w:t xml:space="preserve"> je</w:t>
      </w:r>
      <w:r w:rsidRPr="00122354">
        <w:rPr>
          <w:rFonts w:ascii="Times New Roman" w:hAnsi="Times New Roman"/>
          <w:bCs/>
          <w:noProof/>
          <w:szCs w:val="24"/>
        </w:rPr>
        <w:t xml:space="preserve"> Dom za starije i nemoćne osobe Bjelovar za </w:t>
      </w:r>
      <w:r>
        <w:rPr>
          <w:rFonts w:ascii="Times New Roman" w:hAnsi="Times New Roman"/>
          <w:bCs/>
          <w:noProof/>
          <w:szCs w:val="24"/>
        </w:rPr>
        <w:t>nabavu uređaja</w:t>
      </w:r>
      <w:r w:rsidRPr="00122354">
        <w:rPr>
          <w:rFonts w:ascii="Times New Roman" w:hAnsi="Times New Roman"/>
          <w:bCs/>
          <w:noProof/>
          <w:szCs w:val="24"/>
        </w:rPr>
        <w:t xml:space="preserve"> za biootpad.</w:t>
      </w:r>
    </w:p>
    <w:p w14:paraId="3B0B53DA" w14:textId="067920BC" w:rsidR="002C5688" w:rsidRPr="00122354" w:rsidRDefault="002C5688" w:rsidP="002B38F5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tab/>
      </w:r>
      <w:r w:rsidRPr="00B1209D">
        <w:rPr>
          <w:rFonts w:ascii="Times New Roman" w:hAnsi="Times New Roman"/>
          <w:b/>
          <w:noProof/>
          <w:szCs w:val="24"/>
        </w:rPr>
        <w:t>Pomoći iz Državnog proračuna temeljem prijenosa EU sredstava</w:t>
      </w:r>
      <w:r w:rsidR="000A6208">
        <w:rPr>
          <w:rFonts w:ascii="Times New Roman" w:hAnsi="Times New Roman"/>
          <w:b/>
          <w:noProof/>
          <w:szCs w:val="24"/>
        </w:rPr>
        <w:t xml:space="preserve"> </w:t>
      </w:r>
      <w:r w:rsidR="000A6208" w:rsidRPr="000A6208">
        <w:rPr>
          <w:rFonts w:ascii="Times New Roman" w:hAnsi="Times New Roman"/>
          <w:bCs/>
          <w:noProof/>
          <w:szCs w:val="24"/>
        </w:rPr>
        <w:t>ostv</w:t>
      </w:r>
      <w:r w:rsidR="000A6208">
        <w:rPr>
          <w:rFonts w:ascii="Times New Roman" w:hAnsi="Times New Roman"/>
          <w:bCs/>
          <w:noProof/>
          <w:szCs w:val="24"/>
        </w:rPr>
        <w:t>a</w:t>
      </w:r>
      <w:r w:rsidR="000A6208" w:rsidRPr="000A6208">
        <w:rPr>
          <w:rFonts w:ascii="Times New Roman" w:hAnsi="Times New Roman"/>
          <w:bCs/>
          <w:noProof/>
          <w:szCs w:val="24"/>
        </w:rPr>
        <w:t>rene su</w:t>
      </w:r>
      <w:r w:rsidR="000A6208">
        <w:rPr>
          <w:rFonts w:ascii="Times New Roman" w:hAnsi="Times New Roman"/>
          <w:bCs/>
          <w:noProof/>
          <w:szCs w:val="24"/>
        </w:rPr>
        <w:t xml:space="preserve"> </w:t>
      </w:r>
      <w:r w:rsidR="003D6D50">
        <w:rPr>
          <w:rFonts w:ascii="Times New Roman" w:hAnsi="Times New Roman"/>
          <w:bCs/>
          <w:noProof/>
          <w:szCs w:val="24"/>
        </w:rPr>
        <w:t xml:space="preserve">za </w:t>
      </w:r>
      <w:r w:rsidR="000A6208">
        <w:rPr>
          <w:rFonts w:ascii="Times New Roman" w:hAnsi="Times New Roman"/>
          <w:bCs/>
          <w:noProof/>
          <w:szCs w:val="24"/>
        </w:rPr>
        <w:t xml:space="preserve">16,05 % </w:t>
      </w:r>
      <w:r w:rsidR="003D6D50">
        <w:rPr>
          <w:rFonts w:ascii="Times New Roman" w:hAnsi="Times New Roman"/>
          <w:bCs/>
          <w:noProof/>
          <w:szCs w:val="24"/>
        </w:rPr>
        <w:t xml:space="preserve">više </w:t>
      </w:r>
      <w:r w:rsidR="000A6208">
        <w:rPr>
          <w:rFonts w:ascii="Times New Roman" w:hAnsi="Times New Roman"/>
          <w:bCs/>
          <w:noProof/>
          <w:szCs w:val="24"/>
        </w:rPr>
        <w:t xml:space="preserve">u odnosu na obračunsko razdoblje prethodne godine, dok </w:t>
      </w:r>
      <w:r w:rsidR="008149C0">
        <w:rPr>
          <w:rFonts w:ascii="Times New Roman" w:hAnsi="Times New Roman"/>
          <w:bCs/>
          <w:noProof/>
          <w:szCs w:val="24"/>
        </w:rPr>
        <w:t xml:space="preserve">ostvarene </w:t>
      </w:r>
      <w:r w:rsidR="000A6208">
        <w:rPr>
          <w:rFonts w:ascii="Times New Roman" w:hAnsi="Times New Roman"/>
          <w:bCs/>
          <w:noProof/>
          <w:szCs w:val="24"/>
        </w:rPr>
        <w:t xml:space="preserve">u ovom obračunskom razdoblju </w:t>
      </w:r>
      <w:r w:rsidR="008149C0">
        <w:rPr>
          <w:rFonts w:ascii="Times New Roman" w:hAnsi="Times New Roman"/>
          <w:bCs/>
          <w:noProof/>
          <w:szCs w:val="24"/>
        </w:rPr>
        <w:t xml:space="preserve">se </w:t>
      </w:r>
      <w:r>
        <w:rPr>
          <w:rFonts w:ascii="Times New Roman" w:hAnsi="Times New Roman"/>
          <w:bCs/>
          <w:noProof/>
          <w:szCs w:val="24"/>
        </w:rPr>
        <w:t>odnose na tekuće pomoći</w:t>
      </w:r>
      <w:r w:rsidR="00534510">
        <w:rPr>
          <w:rFonts w:ascii="Times New Roman" w:hAnsi="Times New Roman"/>
          <w:bCs/>
          <w:noProof/>
          <w:szCs w:val="24"/>
        </w:rPr>
        <w:t xml:space="preserve"> iz državnog proračuna</w:t>
      </w:r>
      <w:r>
        <w:rPr>
          <w:rFonts w:ascii="Times New Roman" w:hAnsi="Times New Roman"/>
          <w:bCs/>
          <w:noProof/>
          <w:szCs w:val="24"/>
        </w:rPr>
        <w:t xml:space="preserve"> u iznosu od 192.086,30 </w:t>
      </w:r>
      <w:r w:rsidR="000A6208">
        <w:rPr>
          <w:rFonts w:ascii="Times New Roman" w:hAnsi="Times New Roman"/>
          <w:bCs/>
          <w:noProof/>
          <w:szCs w:val="24"/>
        </w:rPr>
        <w:t>eura</w:t>
      </w:r>
      <w:r>
        <w:rPr>
          <w:rFonts w:ascii="Times New Roman" w:hAnsi="Times New Roman"/>
          <w:bCs/>
          <w:noProof/>
          <w:szCs w:val="24"/>
        </w:rPr>
        <w:t xml:space="preserve"> od čega </w:t>
      </w:r>
      <w:r w:rsidR="000A6208">
        <w:rPr>
          <w:rFonts w:ascii="Times New Roman" w:hAnsi="Times New Roman"/>
          <w:bCs/>
          <w:noProof/>
          <w:szCs w:val="24"/>
        </w:rPr>
        <w:t xml:space="preserve">je </w:t>
      </w:r>
      <w:r>
        <w:rPr>
          <w:rFonts w:ascii="Times New Roman" w:hAnsi="Times New Roman"/>
          <w:bCs/>
          <w:noProof/>
          <w:szCs w:val="24"/>
        </w:rPr>
        <w:t xml:space="preserve">najznačajnije ostvarenje </w:t>
      </w:r>
      <w:r w:rsidR="000A6208">
        <w:rPr>
          <w:rFonts w:ascii="Times New Roman" w:hAnsi="Times New Roman"/>
          <w:bCs/>
          <w:noProof/>
          <w:szCs w:val="24"/>
        </w:rPr>
        <w:t>za projekt T</w:t>
      </w:r>
      <w:r>
        <w:rPr>
          <w:rFonts w:ascii="Times New Roman" w:hAnsi="Times New Roman"/>
          <w:bCs/>
          <w:noProof/>
          <w:szCs w:val="24"/>
        </w:rPr>
        <w:t>ehničk</w:t>
      </w:r>
      <w:r w:rsidR="000A6208">
        <w:rPr>
          <w:rFonts w:ascii="Times New Roman" w:hAnsi="Times New Roman"/>
          <w:bCs/>
          <w:noProof/>
          <w:szCs w:val="24"/>
        </w:rPr>
        <w:t>a</w:t>
      </w:r>
      <w:r>
        <w:rPr>
          <w:rFonts w:ascii="Times New Roman" w:hAnsi="Times New Roman"/>
          <w:bCs/>
          <w:noProof/>
          <w:szCs w:val="24"/>
        </w:rPr>
        <w:t xml:space="preserve"> pomoć u sklopu projekta </w:t>
      </w:r>
      <w:r w:rsidR="000A6208">
        <w:rPr>
          <w:rFonts w:ascii="Times New Roman" w:hAnsi="Times New Roman"/>
          <w:bCs/>
          <w:noProof/>
          <w:szCs w:val="24"/>
        </w:rPr>
        <w:t xml:space="preserve">JU </w:t>
      </w:r>
      <w:r>
        <w:rPr>
          <w:rFonts w:ascii="Times New Roman" w:hAnsi="Times New Roman"/>
          <w:bCs/>
          <w:noProof/>
          <w:szCs w:val="24"/>
        </w:rPr>
        <w:t>Razvojn</w:t>
      </w:r>
      <w:r w:rsidR="000A6208">
        <w:rPr>
          <w:rFonts w:ascii="Times New Roman" w:hAnsi="Times New Roman"/>
          <w:bCs/>
          <w:noProof/>
          <w:szCs w:val="24"/>
        </w:rPr>
        <w:t>e</w:t>
      </w:r>
      <w:r>
        <w:rPr>
          <w:rFonts w:ascii="Times New Roman" w:hAnsi="Times New Roman"/>
          <w:bCs/>
          <w:noProof/>
          <w:szCs w:val="24"/>
        </w:rPr>
        <w:t xml:space="preserve"> agencij</w:t>
      </w:r>
      <w:r w:rsidR="000A6208">
        <w:rPr>
          <w:rFonts w:ascii="Times New Roman" w:hAnsi="Times New Roman"/>
          <w:bCs/>
          <w:noProof/>
          <w:szCs w:val="24"/>
        </w:rPr>
        <w:t>e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D72A82">
        <w:rPr>
          <w:rFonts w:ascii="Times New Roman" w:hAnsi="Times New Roman"/>
          <w:bCs/>
          <w:noProof/>
          <w:szCs w:val="24"/>
        </w:rPr>
        <w:t>Bjelovarsko-bilogorske županije</w:t>
      </w:r>
      <w:r>
        <w:rPr>
          <w:rFonts w:ascii="Times New Roman" w:hAnsi="Times New Roman"/>
          <w:bCs/>
          <w:noProof/>
          <w:szCs w:val="24"/>
        </w:rPr>
        <w:t xml:space="preserve">. Kapitalne pomoći u iznosu od 1.747.978,92 </w:t>
      </w:r>
      <w:r w:rsidR="00534510">
        <w:rPr>
          <w:rFonts w:ascii="Times New Roman" w:hAnsi="Times New Roman"/>
          <w:bCs/>
          <w:noProof/>
          <w:szCs w:val="24"/>
        </w:rPr>
        <w:t>eura</w:t>
      </w:r>
      <w:r>
        <w:rPr>
          <w:rFonts w:ascii="Times New Roman" w:hAnsi="Times New Roman"/>
          <w:bCs/>
          <w:noProof/>
          <w:szCs w:val="24"/>
        </w:rPr>
        <w:t xml:space="preserve"> odnose se na povlačenje sredstava putem zahjtev</w:t>
      </w:r>
      <w:r w:rsidR="00534510">
        <w:rPr>
          <w:rFonts w:ascii="Times New Roman" w:hAnsi="Times New Roman"/>
          <w:bCs/>
          <w:noProof/>
          <w:szCs w:val="24"/>
        </w:rPr>
        <w:t>a</w:t>
      </w:r>
      <w:r>
        <w:rPr>
          <w:rFonts w:ascii="Times New Roman" w:hAnsi="Times New Roman"/>
          <w:bCs/>
          <w:noProof/>
          <w:szCs w:val="24"/>
        </w:rPr>
        <w:t xml:space="preserve"> za nadoknadu sredstava za projekt energetske obnove Tehničke škole Bjelovar u iznosu od </w:t>
      </w:r>
      <w:r w:rsidRPr="00F2420C">
        <w:rPr>
          <w:rFonts w:ascii="Times New Roman" w:hAnsi="Times New Roman"/>
          <w:bCs/>
          <w:noProof/>
          <w:szCs w:val="24"/>
        </w:rPr>
        <w:t>1.286.371,80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534510">
        <w:rPr>
          <w:rFonts w:ascii="Times New Roman" w:hAnsi="Times New Roman"/>
          <w:bCs/>
          <w:noProof/>
          <w:szCs w:val="24"/>
        </w:rPr>
        <w:t>eura</w:t>
      </w:r>
      <w:r>
        <w:rPr>
          <w:rFonts w:ascii="Times New Roman" w:hAnsi="Times New Roman"/>
          <w:bCs/>
          <w:noProof/>
          <w:szCs w:val="24"/>
        </w:rPr>
        <w:t>, Doma zdravlja</w:t>
      </w:r>
      <w:r w:rsidR="00534510">
        <w:rPr>
          <w:rFonts w:ascii="Times New Roman" w:hAnsi="Times New Roman"/>
          <w:bCs/>
          <w:noProof/>
          <w:szCs w:val="24"/>
        </w:rPr>
        <w:t xml:space="preserve"> </w:t>
      </w:r>
      <w:r w:rsidR="00284DFC">
        <w:rPr>
          <w:rFonts w:ascii="Times New Roman" w:hAnsi="Times New Roman"/>
          <w:bCs/>
          <w:noProof/>
          <w:szCs w:val="24"/>
        </w:rPr>
        <w:t>Bjelovarsko-bilogorske županije</w:t>
      </w:r>
      <w:r>
        <w:rPr>
          <w:rFonts w:ascii="Times New Roman" w:hAnsi="Times New Roman"/>
          <w:bCs/>
          <w:noProof/>
          <w:szCs w:val="24"/>
        </w:rPr>
        <w:t xml:space="preserve"> u iznosu od </w:t>
      </w:r>
      <w:r w:rsidRPr="00F2420C">
        <w:rPr>
          <w:rFonts w:ascii="Times New Roman" w:hAnsi="Times New Roman"/>
          <w:bCs/>
          <w:noProof/>
          <w:szCs w:val="24"/>
        </w:rPr>
        <w:t>277.280,76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534510">
        <w:rPr>
          <w:rFonts w:ascii="Times New Roman" w:hAnsi="Times New Roman"/>
          <w:bCs/>
          <w:noProof/>
          <w:szCs w:val="24"/>
        </w:rPr>
        <w:t>eura</w:t>
      </w:r>
      <w:r>
        <w:rPr>
          <w:rFonts w:ascii="Times New Roman" w:hAnsi="Times New Roman"/>
          <w:bCs/>
          <w:noProof/>
          <w:szCs w:val="24"/>
        </w:rPr>
        <w:t xml:space="preserve">, Specijalne bolnice za medicinsku rehabilitaciju Daruvarske toplice u </w:t>
      </w:r>
      <w:r>
        <w:rPr>
          <w:rFonts w:ascii="Times New Roman" w:hAnsi="Times New Roman"/>
          <w:bCs/>
          <w:noProof/>
          <w:szCs w:val="24"/>
        </w:rPr>
        <w:lastRenderedPageBreak/>
        <w:t xml:space="preserve">iznosu od </w:t>
      </w:r>
      <w:r w:rsidRPr="00F2420C">
        <w:rPr>
          <w:rFonts w:ascii="Times New Roman" w:hAnsi="Times New Roman"/>
          <w:bCs/>
          <w:noProof/>
          <w:szCs w:val="24"/>
        </w:rPr>
        <w:t>155.433,44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534510">
        <w:rPr>
          <w:rFonts w:ascii="Times New Roman" w:hAnsi="Times New Roman"/>
          <w:bCs/>
          <w:noProof/>
          <w:szCs w:val="24"/>
        </w:rPr>
        <w:t>eura</w:t>
      </w:r>
      <w:r>
        <w:rPr>
          <w:rFonts w:ascii="Times New Roman" w:hAnsi="Times New Roman"/>
          <w:bCs/>
          <w:noProof/>
          <w:szCs w:val="24"/>
        </w:rPr>
        <w:t xml:space="preserve"> te Zavoda za hitnu medicinu </w:t>
      </w:r>
      <w:r w:rsidR="00D72A82">
        <w:rPr>
          <w:rFonts w:ascii="Times New Roman" w:hAnsi="Times New Roman"/>
          <w:bCs/>
          <w:noProof/>
          <w:szCs w:val="24"/>
        </w:rPr>
        <w:t>Bjelovarsko-bilogorske županije</w:t>
      </w:r>
      <w:r w:rsidR="00534510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 xml:space="preserve">u iznosu od </w:t>
      </w:r>
      <w:r w:rsidRPr="00DC0B22">
        <w:rPr>
          <w:rFonts w:ascii="Times New Roman" w:hAnsi="Times New Roman"/>
          <w:bCs/>
          <w:noProof/>
          <w:szCs w:val="24"/>
        </w:rPr>
        <w:t>15.118,79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534510">
        <w:rPr>
          <w:rFonts w:ascii="Times New Roman" w:hAnsi="Times New Roman"/>
          <w:bCs/>
          <w:noProof/>
          <w:szCs w:val="24"/>
        </w:rPr>
        <w:t>eura</w:t>
      </w:r>
      <w:r>
        <w:rPr>
          <w:rFonts w:ascii="Times New Roman" w:hAnsi="Times New Roman"/>
          <w:bCs/>
          <w:noProof/>
          <w:szCs w:val="24"/>
        </w:rPr>
        <w:t xml:space="preserve">. </w:t>
      </w:r>
    </w:p>
    <w:p w14:paraId="3C9C9E9F" w14:textId="05E682DC" w:rsidR="002C5688" w:rsidRPr="00BF735D" w:rsidRDefault="002C5688" w:rsidP="000126ED">
      <w:pPr>
        <w:pStyle w:val="Header"/>
        <w:tabs>
          <w:tab w:val="clear" w:pos="4153"/>
          <w:tab w:val="clear" w:pos="8306"/>
          <w:tab w:val="left" w:pos="851"/>
          <w:tab w:val="right" w:pos="9072"/>
        </w:tabs>
        <w:spacing w:line="360" w:lineRule="auto"/>
        <w:ind w:left="142"/>
        <w:jc w:val="both"/>
        <w:rPr>
          <w:rFonts w:ascii="Times New Roman" w:hAnsi="Times New Roman"/>
          <w:bCs/>
          <w:noProof/>
          <w:szCs w:val="24"/>
        </w:rPr>
      </w:pPr>
      <w:r w:rsidRPr="00BF735D">
        <w:rPr>
          <w:rFonts w:ascii="Times New Roman" w:hAnsi="Times New Roman"/>
          <w:bCs/>
          <w:noProof/>
          <w:szCs w:val="24"/>
        </w:rPr>
        <w:tab/>
      </w:r>
      <w:r w:rsidRPr="00BF735D">
        <w:rPr>
          <w:rFonts w:ascii="Times New Roman" w:hAnsi="Times New Roman"/>
          <w:bCs/>
          <w:noProof/>
          <w:szCs w:val="24"/>
        </w:rPr>
        <w:tab/>
      </w:r>
      <w:r w:rsidRPr="00BF735D">
        <w:rPr>
          <w:rFonts w:ascii="Times New Roman" w:hAnsi="Times New Roman"/>
          <w:b/>
          <w:bCs/>
          <w:noProof/>
          <w:szCs w:val="24"/>
        </w:rPr>
        <w:t xml:space="preserve"> Prihodi od imovine </w:t>
      </w:r>
      <w:r w:rsidRPr="000126ED">
        <w:rPr>
          <w:rFonts w:ascii="Times New Roman" w:hAnsi="Times New Roman"/>
          <w:noProof/>
          <w:szCs w:val="24"/>
        </w:rPr>
        <w:t>obuhvaćaju prihode od financijske i nefinancijske imovine</w:t>
      </w:r>
      <w:r w:rsidRPr="00BF735D">
        <w:rPr>
          <w:rFonts w:ascii="Times New Roman" w:hAnsi="Times New Roman"/>
          <w:b/>
          <w:bCs/>
          <w:noProof/>
          <w:szCs w:val="24"/>
        </w:rPr>
        <w:t xml:space="preserve"> </w:t>
      </w:r>
      <w:r w:rsidRPr="00BF735D">
        <w:rPr>
          <w:rFonts w:ascii="Times New Roman" w:hAnsi="Times New Roman"/>
          <w:bCs/>
          <w:noProof/>
          <w:szCs w:val="24"/>
        </w:rPr>
        <w:t xml:space="preserve">i u odnosu na obračunsko razdoblje prošle godine </w:t>
      </w:r>
      <w:r>
        <w:rPr>
          <w:rFonts w:ascii="Times New Roman" w:hAnsi="Times New Roman"/>
          <w:bCs/>
          <w:noProof/>
          <w:szCs w:val="24"/>
        </w:rPr>
        <w:t>smanjeni su</w:t>
      </w:r>
      <w:r w:rsidR="00285A04">
        <w:rPr>
          <w:rFonts w:ascii="Times New Roman" w:hAnsi="Times New Roman"/>
          <w:bCs/>
          <w:noProof/>
          <w:szCs w:val="24"/>
        </w:rPr>
        <w:t xml:space="preserve"> </w:t>
      </w:r>
      <w:r w:rsidRPr="00BF735D">
        <w:rPr>
          <w:rFonts w:ascii="Times New Roman" w:hAnsi="Times New Roman"/>
          <w:bCs/>
          <w:noProof/>
          <w:szCs w:val="24"/>
        </w:rPr>
        <w:t>za</w:t>
      </w:r>
      <w:r w:rsidR="00285A04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 xml:space="preserve">16,78 </w:t>
      </w:r>
      <w:r w:rsidRPr="00BF735D">
        <w:rPr>
          <w:rFonts w:ascii="Times New Roman" w:hAnsi="Times New Roman"/>
          <w:bCs/>
          <w:noProof/>
          <w:szCs w:val="24"/>
        </w:rPr>
        <w:t>% dok je ostvarenje</w:t>
      </w:r>
      <w:r w:rsidR="000126ED">
        <w:rPr>
          <w:rFonts w:ascii="Times New Roman" w:hAnsi="Times New Roman"/>
          <w:bCs/>
          <w:noProof/>
          <w:szCs w:val="24"/>
        </w:rPr>
        <w:t xml:space="preserve"> u ovom obračunskom razdoblju</w:t>
      </w:r>
      <w:r w:rsidRPr="00BF735D">
        <w:rPr>
          <w:rFonts w:ascii="Times New Roman" w:hAnsi="Times New Roman"/>
          <w:bCs/>
          <w:noProof/>
          <w:szCs w:val="24"/>
        </w:rPr>
        <w:t xml:space="preserve"> u odnosu na plan </w:t>
      </w:r>
      <w:r>
        <w:rPr>
          <w:rFonts w:ascii="Times New Roman" w:hAnsi="Times New Roman"/>
          <w:bCs/>
          <w:noProof/>
          <w:szCs w:val="24"/>
        </w:rPr>
        <w:t>38,17</w:t>
      </w:r>
      <w:r w:rsidR="000126ED">
        <w:rPr>
          <w:rFonts w:ascii="Times New Roman" w:hAnsi="Times New Roman"/>
          <w:bCs/>
          <w:noProof/>
          <w:szCs w:val="24"/>
        </w:rPr>
        <w:t xml:space="preserve"> </w:t>
      </w:r>
      <w:r w:rsidRPr="00BF735D">
        <w:rPr>
          <w:rFonts w:ascii="Times New Roman" w:hAnsi="Times New Roman"/>
          <w:bCs/>
          <w:noProof/>
          <w:szCs w:val="24"/>
        </w:rPr>
        <w:t>%.  Prihodi od financijske</w:t>
      </w:r>
      <w:r w:rsidR="000126ED">
        <w:rPr>
          <w:rFonts w:ascii="Times New Roman" w:hAnsi="Times New Roman"/>
          <w:bCs/>
          <w:noProof/>
          <w:szCs w:val="24"/>
        </w:rPr>
        <w:t xml:space="preserve"> imovine</w:t>
      </w:r>
      <w:r w:rsidRPr="00BF735D">
        <w:rPr>
          <w:rFonts w:ascii="Times New Roman" w:hAnsi="Times New Roman"/>
          <w:bCs/>
          <w:noProof/>
          <w:szCs w:val="24"/>
        </w:rPr>
        <w:t xml:space="preserve"> u odnosu na prošlu godinu </w:t>
      </w:r>
      <w:r>
        <w:rPr>
          <w:rFonts w:ascii="Times New Roman" w:hAnsi="Times New Roman"/>
          <w:bCs/>
          <w:noProof/>
          <w:szCs w:val="24"/>
        </w:rPr>
        <w:t xml:space="preserve">smanjeni su iz </w:t>
      </w:r>
      <w:r w:rsidRPr="00BF735D">
        <w:rPr>
          <w:rFonts w:ascii="Times New Roman" w:hAnsi="Times New Roman"/>
          <w:bCs/>
          <w:noProof/>
          <w:szCs w:val="24"/>
        </w:rPr>
        <w:t>razloga</w:t>
      </w:r>
      <w:r>
        <w:rPr>
          <w:rFonts w:ascii="Times New Roman" w:hAnsi="Times New Roman"/>
          <w:bCs/>
          <w:noProof/>
          <w:szCs w:val="24"/>
        </w:rPr>
        <w:t xml:space="preserve"> što su prošle godine bi</w:t>
      </w:r>
      <w:r w:rsidR="000126ED">
        <w:rPr>
          <w:rFonts w:ascii="Times New Roman" w:hAnsi="Times New Roman"/>
          <w:bCs/>
          <w:noProof/>
          <w:szCs w:val="24"/>
        </w:rPr>
        <w:t>le</w:t>
      </w:r>
      <w:r w:rsidRPr="00BF735D">
        <w:rPr>
          <w:rFonts w:ascii="Times New Roman" w:hAnsi="Times New Roman"/>
          <w:bCs/>
          <w:noProof/>
          <w:szCs w:val="24"/>
        </w:rPr>
        <w:t xml:space="preserve"> naplate zateznih kamata i uplate viškova vlastitih prihoda korisnika. Prihodi od nefinancijske imovine obuhvaćaju naknadu za koncesiju prava lova, distribuciju plina, prihode od zakupa poljoprivrednog zemljišta, ostale prihode od izn</w:t>
      </w:r>
      <w:r w:rsidR="00285A04">
        <w:rPr>
          <w:rFonts w:ascii="Times New Roman" w:hAnsi="Times New Roman"/>
          <w:bCs/>
          <w:noProof/>
          <w:szCs w:val="24"/>
        </w:rPr>
        <w:t>a</w:t>
      </w:r>
      <w:r w:rsidRPr="00BF735D">
        <w:rPr>
          <w:rFonts w:ascii="Times New Roman" w:hAnsi="Times New Roman"/>
          <w:bCs/>
          <w:noProof/>
          <w:szCs w:val="24"/>
        </w:rPr>
        <w:t>jmljivanja i zakupa imovine, naknadu za eksploataciju mineralnih sirovina</w:t>
      </w:r>
      <w:r w:rsidR="000126ED">
        <w:rPr>
          <w:rFonts w:ascii="Times New Roman" w:hAnsi="Times New Roman"/>
          <w:bCs/>
          <w:noProof/>
          <w:szCs w:val="24"/>
        </w:rPr>
        <w:t xml:space="preserve"> te</w:t>
      </w:r>
      <w:r w:rsidRPr="00BF735D">
        <w:rPr>
          <w:rFonts w:ascii="Times New Roman" w:hAnsi="Times New Roman"/>
          <w:bCs/>
          <w:noProof/>
          <w:szCs w:val="24"/>
        </w:rPr>
        <w:t xml:space="preserve"> lovozakupninu. U odnosu na obračunsko razdoblje prošle godine primjetno je povećanje </w:t>
      </w:r>
      <w:r>
        <w:rPr>
          <w:rFonts w:ascii="Times New Roman" w:hAnsi="Times New Roman"/>
          <w:bCs/>
          <w:noProof/>
          <w:szCs w:val="24"/>
        </w:rPr>
        <w:t xml:space="preserve">naplate prihoda od zakupa poljoprivrednog zemljišta. </w:t>
      </w:r>
    </w:p>
    <w:p w14:paraId="5F7E1E17" w14:textId="0E959C8B" w:rsidR="002C5688" w:rsidRPr="00BF735D" w:rsidRDefault="002C5688" w:rsidP="002B38F5">
      <w:pPr>
        <w:tabs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BF735D">
        <w:rPr>
          <w:rFonts w:ascii="Times New Roman" w:hAnsi="Times New Roman"/>
          <w:bCs/>
          <w:noProof/>
          <w:szCs w:val="24"/>
        </w:rPr>
        <w:tab/>
      </w:r>
      <w:r w:rsidRPr="00BF735D">
        <w:rPr>
          <w:rFonts w:ascii="Times New Roman" w:hAnsi="Times New Roman"/>
          <w:b/>
          <w:bCs/>
          <w:noProof/>
          <w:szCs w:val="24"/>
        </w:rPr>
        <w:t>Prihodi od upravnih i administrativnih pristojbi</w:t>
      </w:r>
      <w:r w:rsidRPr="00BF735D">
        <w:rPr>
          <w:rFonts w:ascii="Times New Roman" w:hAnsi="Times New Roman"/>
          <w:bCs/>
          <w:noProof/>
          <w:szCs w:val="24"/>
        </w:rPr>
        <w:t xml:space="preserve">, </w:t>
      </w:r>
      <w:r w:rsidRPr="00BF735D">
        <w:rPr>
          <w:rFonts w:ascii="Times New Roman" w:hAnsi="Times New Roman"/>
          <w:b/>
          <w:bCs/>
          <w:noProof/>
          <w:szCs w:val="24"/>
        </w:rPr>
        <w:t>pri</w:t>
      </w:r>
      <w:r w:rsidR="00452A07">
        <w:rPr>
          <w:rFonts w:ascii="Times New Roman" w:hAnsi="Times New Roman"/>
          <w:b/>
          <w:bCs/>
          <w:noProof/>
          <w:szCs w:val="24"/>
        </w:rPr>
        <w:t>stojbi</w:t>
      </w:r>
      <w:r w:rsidRPr="00BF735D">
        <w:rPr>
          <w:rFonts w:ascii="Times New Roman" w:hAnsi="Times New Roman"/>
          <w:b/>
          <w:bCs/>
          <w:noProof/>
          <w:szCs w:val="24"/>
        </w:rPr>
        <w:t xml:space="preserve"> po posebnim propisima i naknada</w:t>
      </w:r>
      <w:r w:rsidR="00285A04">
        <w:rPr>
          <w:rFonts w:ascii="Times New Roman" w:hAnsi="Times New Roman"/>
          <w:bCs/>
          <w:noProof/>
          <w:szCs w:val="24"/>
        </w:rPr>
        <w:t xml:space="preserve"> </w:t>
      </w:r>
      <w:r w:rsidR="00A81485">
        <w:rPr>
          <w:rFonts w:ascii="Times New Roman" w:hAnsi="Times New Roman"/>
          <w:bCs/>
          <w:noProof/>
          <w:szCs w:val="24"/>
        </w:rPr>
        <w:t>ostvar</w:t>
      </w:r>
      <w:r w:rsidR="002078BA">
        <w:rPr>
          <w:rFonts w:ascii="Times New Roman" w:hAnsi="Times New Roman"/>
          <w:bCs/>
          <w:noProof/>
          <w:szCs w:val="24"/>
        </w:rPr>
        <w:t>e</w:t>
      </w:r>
      <w:r w:rsidR="00A81485">
        <w:rPr>
          <w:rFonts w:ascii="Times New Roman" w:hAnsi="Times New Roman"/>
          <w:bCs/>
          <w:noProof/>
          <w:szCs w:val="24"/>
        </w:rPr>
        <w:t xml:space="preserve">ni su u iznosu od 2.038.114,10 eura što je </w:t>
      </w:r>
      <w:r w:rsidRPr="00BF735D">
        <w:rPr>
          <w:rFonts w:ascii="Times New Roman" w:hAnsi="Times New Roman"/>
          <w:bCs/>
          <w:noProof/>
          <w:szCs w:val="24"/>
        </w:rPr>
        <w:t>u odnosu na promatrano razdoblje prethodne godine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A81485">
        <w:rPr>
          <w:rFonts w:ascii="Times New Roman" w:hAnsi="Times New Roman"/>
          <w:bCs/>
          <w:noProof/>
          <w:szCs w:val="24"/>
        </w:rPr>
        <w:t>povećanje</w:t>
      </w:r>
      <w:r w:rsidRPr="00BF735D">
        <w:rPr>
          <w:rFonts w:ascii="Times New Roman" w:hAnsi="Times New Roman"/>
          <w:bCs/>
          <w:noProof/>
          <w:szCs w:val="24"/>
        </w:rPr>
        <w:t xml:space="preserve"> za </w:t>
      </w:r>
      <w:r>
        <w:rPr>
          <w:rFonts w:ascii="Times New Roman" w:hAnsi="Times New Roman"/>
          <w:bCs/>
          <w:noProof/>
          <w:szCs w:val="24"/>
        </w:rPr>
        <w:t>13,65</w:t>
      </w:r>
      <w:r w:rsidRPr="00BF735D">
        <w:rPr>
          <w:rFonts w:ascii="Times New Roman" w:hAnsi="Times New Roman"/>
          <w:bCs/>
          <w:noProof/>
          <w:szCs w:val="24"/>
        </w:rPr>
        <w:t xml:space="preserve"> %, a </w:t>
      </w:r>
      <w:r w:rsidR="00756486">
        <w:rPr>
          <w:rFonts w:ascii="Times New Roman" w:hAnsi="Times New Roman"/>
          <w:bCs/>
          <w:noProof/>
          <w:szCs w:val="24"/>
        </w:rPr>
        <w:t>ostvarenje</w:t>
      </w:r>
      <w:r w:rsidR="006737A8">
        <w:rPr>
          <w:rFonts w:ascii="Times New Roman" w:hAnsi="Times New Roman"/>
          <w:bCs/>
          <w:noProof/>
          <w:szCs w:val="24"/>
        </w:rPr>
        <w:t xml:space="preserve"> u ovom obračunskom razdoblju</w:t>
      </w:r>
      <w:r w:rsidRPr="00BF735D">
        <w:rPr>
          <w:rFonts w:ascii="Times New Roman" w:hAnsi="Times New Roman"/>
          <w:bCs/>
          <w:noProof/>
          <w:szCs w:val="24"/>
        </w:rPr>
        <w:t xml:space="preserve"> u odnosu na plan </w:t>
      </w:r>
      <w:r>
        <w:rPr>
          <w:rFonts w:ascii="Times New Roman" w:hAnsi="Times New Roman"/>
          <w:bCs/>
          <w:noProof/>
          <w:szCs w:val="24"/>
        </w:rPr>
        <w:t>49,53</w:t>
      </w:r>
      <w:r w:rsidRPr="00BF735D">
        <w:rPr>
          <w:rFonts w:ascii="Times New Roman" w:hAnsi="Times New Roman"/>
          <w:bCs/>
          <w:noProof/>
          <w:szCs w:val="24"/>
        </w:rPr>
        <w:t xml:space="preserve"> %. Upravne i administrativne pristojbe u odnosu na </w:t>
      </w:r>
      <w:r w:rsidR="005560D8">
        <w:rPr>
          <w:rFonts w:ascii="Times New Roman" w:hAnsi="Times New Roman"/>
          <w:bCs/>
          <w:noProof/>
          <w:szCs w:val="24"/>
        </w:rPr>
        <w:t>obračunsko razdoblje</w:t>
      </w:r>
      <w:r w:rsidRPr="00BF735D">
        <w:rPr>
          <w:rFonts w:ascii="Times New Roman" w:hAnsi="Times New Roman"/>
          <w:bCs/>
          <w:noProof/>
          <w:szCs w:val="24"/>
        </w:rPr>
        <w:t xml:space="preserve"> prošle godine</w:t>
      </w:r>
      <w:r w:rsidR="005560D8">
        <w:rPr>
          <w:rFonts w:ascii="Times New Roman" w:hAnsi="Times New Roman"/>
          <w:bCs/>
          <w:noProof/>
          <w:szCs w:val="24"/>
        </w:rPr>
        <w:t xml:space="preserve"> ostvarene su u</w:t>
      </w:r>
      <w:r w:rsidRPr="00BF735D">
        <w:rPr>
          <w:rFonts w:ascii="Times New Roman" w:hAnsi="Times New Roman"/>
          <w:bCs/>
          <w:noProof/>
          <w:szCs w:val="24"/>
        </w:rPr>
        <w:t xml:space="preserve"> </w:t>
      </w:r>
      <w:r w:rsidR="005560D8">
        <w:rPr>
          <w:rFonts w:ascii="Times New Roman" w:hAnsi="Times New Roman"/>
          <w:bCs/>
          <w:noProof/>
          <w:szCs w:val="24"/>
        </w:rPr>
        <w:t xml:space="preserve">većem iznosu </w:t>
      </w:r>
      <w:r w:rsidR="00756486">
        <w:rPr>
          <w:rFonts w:ascii="Times New Roman" w:hAnsi="Times New Roman"/>
          <w:bCs/>
          <w:noProof/>
          <w:szCs w:val="24"/>
        </w:rPr>
        <w:t>za 23,36 %</w:t>
      </w:r>
      <w:r w:rsidR="005560D8">
        <w:rPr>
          <w:rFonts w:ascii="Times New Roman" w:hAnsi="Times New Roman"/>
          <w:bCs/>
          <w:noProof/>
          <w:szCs w:val="24"/>
        </w:rPr>
        <w:t>, dok je ostvarenje u ovom obračunskom razdoblju u odnosu na plan 58,66 %.</w:t>
      </w:r>
      <w:r w:rsidRPr="00BF735D">
        <w:rPr>
          <w:rFonts w:ascii="Times New Roman" w:hAnsi="Times New Roman"/>
          <w:bCs/>
          <w:noProof/>
          <w:szCs w:val="24"/>
        </w:rPr>
        <w:t xml:space="preserve"> Prihode po posebnim propisima u većem dijelu ostvaruju proračunski korisnici (sufinanciranje cijene usluge, participacije i sl., prihodi od produženog boravka, zdravstveno osiguranje, prihodi s naslova osiguranja i refundacija štete)</w:t>
      </w:r>
      <w:r w:rsidR="007C2FB4">
        <w:rPr>
          <w:rFonts w:ascii="Times New Roman" w:hAnsi="Times New Roman"/>
          <w:bCs/>
          <w:noProof/>
          <w:szCs w:val="24"/>
        </w:rPr>
        <w:t xml:space="preserve"> te su u odnosu na promatrano razdoblje prethodne godine veći za 13,38 %, dok u odnosu na promatrano razdoblje tekuće godine bilježe ostvarenje od 49,30 % u odnosu na plan.</w:t>
      </w:r>
    </w:p>
    <w:p w14:paraId="04553A84" w14:textId="3DA07077" w:rsidR="002C5688" w:rsidRPr="00A81485" w:rsidRDefault="002C5688" w:rsidP="002C5688">
      <w:pPr>
        <w:tabs>
          <w:tab w:val="left" w:pos="851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BF735D">
        <w:rPr>
          <w:rFonts w:ascii="Times New Roman" w:hAnsi="Times New Roman"/>
          <w:bCs/>
          <w:noProof/>
          <w:szCs w:val="24"/>
        </w:rPr>
        <w:tab/>
      </w:r>
      <w:r w:rsidRPr="00E020C7">
        <w:rPr>
          <w:rFonts w:ascii="Times New Roman" w:hAnsi="Times New Roman"/>
          <w:b/>
          <w:bCs/>
          <w:noProof/>
          <w:szCs w:val="24"/>
        </w:rPr>
        <w:t>Prihodi od prodaje proizvoda i robe te pruženih usluga i prihodi od donacija te</w:t>
      </w:r>
      <w:r w:rsidRPr="00E020C7">
        <w:rPr>
          <w:rFonts w:ascii="Times New Roman" w:hAnsi="Times New Roman"/>
          <w:bCs/>
          <w:noProof/>
          <w:szCs w:val="24"/>
        </w:rPr>
        <w:t xml:space="preserve"> </w:t>
      </w:r>
      <w:r w:rsidRPr="00E020C7">
        <w:rPr>
          <w:rFonts w:ascii="Times New Roman" w:hAnsi="Times New Roman"/>
          <w:b/>
          <w:bCs/>
          <w:noProof/>
          <w:szCs w:val="24"/>
        </w:rPr>
        <w:t xml:space="preserve">povrati po protestiranim jamstvima </w:t>
      </w:r>
      <w:r w:rsidRPr="00E020C7">
        <w:rPr>
          <w:rFonts w:ascii="Times New Roman" w:hAnsi="Times New Roman"/>
          <w:bCs/>
          <w:noProof/>
          <w:szCs w:val="24"/>
        </w:rPr>
        <w:t xml:space="preserve">ostvareni su u visini od 3.407.628,42 </w:t>
      </w:r>
      <w:r w:rsidR="00A81485">
        <w:rPr>
          <w:rFonts w:ascii="Times New Roman" w:hAnsi="Times New Roman"/>
          <w:bCs/>
          <w:noProof/>
          <w:szCs w:val="24"/>
        </w:rPr>
        <w:t>eura</w:t>
      </w:r>
      <w:r w:rsidRPr="00E020C7">
        <w:rPr>
          <w:rFonts w:ascii="Times New Roman" w:hAnsi="Times New Roman"/>
          <w:bCs/>
          <w:noProof/>
          <w:szCs w:val="24"/>
        </w:rPr>
        <w:t xml:space="preserve"> što je 11,45 %</w:t>
      </w:r>
      <w:r w:rsidRPr="00E020C7">
        <w:rPr>
          <w:rFonts w:ascii="Times New Roman" w:hAnsi="Times New Roman"/>
          <w:b/>
          <w:bCs/>
          <w:noProof/>
          <w:szCs w:val="24"/>
        </w:rPr>
        <w:t xml:space="preserve"> </w:t>
      </w:r>
      <w:r w:rsidRPr="00E020C7">
        <w:rPr>
          <w:rFonts w:ascii="Times New Roman" w:hAnsi="Times New Roman"/>
          <w:bCs/>
          <w:noProof/>
          <w:szCs w:val="24"/>
        </w:rPr>
        <w:t xml:space="preserve">manje u odnosu na promatrano razdoblje prethodne godine, </w:t>
      </w:r>
      <w:r w:rsidR="006737A8">
        <w:rPr>
          <w:rFonts w:ascii="Times New Roman" w:hAnsi="Times New Roman"/>
          <w:bCs/>
          <w:noProof/>
          <w:szCs w:val="24"/>
        </w:rPr>
        <w:t>dok je ostvarenje u ovom obračunskom razdoblju</w:t>
      </w:r>
      <w:r w:rsidRPr="00E020C7">
        <w:rPr>
          <w:rFonts w:ascii="Times New Roman" w:hAnsi="Times New Roman"/>
          <w:bCs/>
          <w:noProof/>
          <w:szCs w:val="24"/>
        </w:rPr>
        <w:t xml:space="preserve"> u odnosu na </w:t>
      </w:r>
      <w:r w:rsidR="006737A8">
        <w:rPr>
          <w:rFonts w:ascii="Times New Roman" w:hAnsi="Times New Roman"/>
          <w:bCs/>
          <w:noProof/>
          <w:szCs w:val="24"/>
        </w:rPr>
        <w:t xml:space="preserve">plan </w:t>
      </w:r>
      <w:r>
        <w:rPr>
          <w:rFonts w:ascii="Times New Roman" w:hAnsi="Times New Roman"/>
          <w:bCs/>
          <w:noProof/>
          <w:szCs w:val="24"/>
        </w:rPr>
        <w:t>49,81</w:t>
      </w:r>
      <w:r w:rsidRPr="00C959A7">
        <w:rPr>
          <w:rFonts w:ascii="Times New Roman" w:hAnsi="Times New Roman"/>
          <w:bCs/>
          <w:noProof/>
          <w:szCs w:val="24"/>
        </w:rPr>
        <w:t xml:space="preserve"> %. </w:t>
      </w:r>
      <w:r w:rsidRPr="00BF4853">
        <w:rPr>
          <w:rFonts w:ascii="Times New Roman" w:hAnsi="Times New Roman"/>
          <w:bCs/>
          <w:noProof/>
          <w:szCs w:val="24"/>
        </w:rPr>
        <w:t xml:space="preserve">U okviru ovih prihoda, prihodi od </w:t>
      </w:r>
      <w:r>
        <w:rPr>
          <w:rFonts w:ascii="Times New Roman" w:hAnsi="Times New Roman"/>
          <w:bCs/>
          <w:noProof/>
          <w:szCs w:val="24"/>
        </w:rPr>
        <w:t>prodaje roba</w:t>
      </w:r>
      <w:r w:rsidRPr="00BF4853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 xml:space="preserve">bilježe povećanje i </w:t>
      </w:r>
      <w:r w:rsidRPr="00BF4853">
        <w:rPr>
          <w:rFonts w:ascii="Times New Roman" w:hAnsi="Times New Roman"/>
          <w:bCs/>
          <w:noProof/>
          <w:szCs w:val="24"/>
        </w:rPr>
        <w:t>ostvareni su u iznosu od</w:t>
      </w:r>
      <w:r w:rsidRPr="00BF4853">
        <w:t xml:space="preserve"> </w:t>
      </w:r>
      <w:r>
        <w:rPr>
          <w:rFonts w:ascii="Times New Roman" w:hAnsi="Times New Roman"/>
          <w:bCs/>
          <w:noProof/>
          <w:szCs w:val="24"/>
        </w:rPr>
        <w:t>662.770,08</w:t>
      </w:r>
      <w:r w:rsidRPr="00BF4853">
        <w:rPr>
          <w:rFonts w:ascii="Times New Roman" w:hAnsi="Times New Roman"/>
          <w:bCs/>
          <w:noProof/>
          <w:szCs w:val="24"/>
        </w:rPr>
        <w:t xml:space="preserve"> </w:t>
      </w:r>
      <w:r w:rsidR="002B38F5">
        <w:rPr>
          <w:rFonts w:ascii="Times New Roman" w:hAnsi="Times New Roman"/>
          <w:bCs/>
          <w:noProof/>
          <w:szCs w:val="24"/>
        </w:rPr>
        <w:t>eura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Pr="00BF4853">
        <w:rPr>
          <w:rFonts w:ascii="Times New Roman" w:hAnsi="Times New Roman"/>
          <w:bCs/>
          <w:noProof/>
          <w:szCs w:val="24"/>
        </w:rPr>
        <w:t>što je povećanje od 73,9</w:t>
      </w:r>
      <w:r w:rsidR="002B38F5">
        <w:rPr>
          <w:rFonts w:ascii="Times New Roman" w:hAnsi="Times New Roman"/>
          <w:bCs/>
          <w:noProof/>
          <w:szCs w:val="24"/>
        </w:rPr>
        <w:t xml:space="preserve">4, a </w:t>
      </w:r>
      <w:r>
        <w:rPr>
          <w:rFonts w:ascii="Times New Roman" w:hAnsi="Times New Roman"/>
          <w:bCs/>
          <w:noProof/>
          <w:szCs w:val="24"/>
        </w:rPr>
        <w:t>najvećim dije</w:t>
      </w:r>
      <w:r w:rsidR="003B38FD">
        <w:rPr>
          <w:rFonts w:ascii="Times New Roman" w:hAnsi="Times New Roman"/>
          <w:bCs/>
          <w:noProof/>
          <w:szCs w:val="24"/>
        </w:rPr>
        <w:t>l</w:t>
      </w:r>
      <w:r>
        <w:rPr>
          <w:rFonts w:ascii="Times New Roman" w:hAnsi="Times New Roman"/>
          <w:bCs/>
          <w:noProof/>
          <w:szCs w:val="24"/>
        </w:rPr>
        <w:t xml:space="preserve">om </w:t>
      </w:r>
      <w:r w:rsidR="002B38F5">
        <w:rPr>
          <w:rFonts w:ascii="Times New Roman" w:hAnsi="Times New Roman"/>
          <w:bCs/>
          <w:noProof/>
          <w:szCs w:val="24"/>
        </w:rPr>
        <w:t xml:space="preserve">ostvareni su </w:t>
      </w:r>
      <w:r>
        <w:rPr>
          <w:rFonts w:ascii="Times New Roman" w:hAnsi="Times New Roman"/>
          <w:bCs/>
          <w:noProof/>
          <w:szCs w:val="24"/>
        </w:rPr>
        <w:t>kod ustanova u zdravstvu</w:t>
      </w:r>
      <w:r w:rsidR="002B38F5">
        <w:rPr>
          <w:rFonts w:ascii="Times New Roman" w:hAnsi="Times New Roman"/>
          <w:bCs/>
          <w:noProof/>
          <w:szCs w:val="24"/>
        </w:rPr>
        <w:t>.</w:t>
      </w:r>
    </w:p>
    <w:p w14:paraId="54B28B7B" w14:textId="5D8C7614" w:rsidR="002C5688" w:rsidRPr="000F79F2" w:rsidRDefault="002C5688" w:rsidP="002C5688">
      <w:pPr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0F79F2">
        <w:rPr>
          <w:rFonts w:ascii="Times New Roman" w:hAnsi="Times New Roman"/>
          <w:b/>
          <w:bCs/>
          <w:noProof/>
          <w:szCs w:val="24"/>
        </w:rPr>
        <w:tab/>
        <w:t>Prihodi iz nadležnog proračuna i od HZZO-a na temeljem ugovornih obveza</w:t>
      </w:r>
      <w:r>
        <w:rPr>
          <w:rFonts w:ascii="Times New Roman" w:hAnsi="Times New Roman"/>
          <w:b/>
          <w:bCs/>
          <w:noProof/>
          <w:szCs w:val="24"/>
        </w:rPr>
        <w:t xml:space="preserve"> </w:t>
      </w:r>
      <w:r w:rsidRPr="002078BA">
        <w:rPr>
          <w:rFonts w:ascii="Times New Roman" w:hAnsi="Times New Roman"/>
          <w:noProof/>
          <w:szCs w:val="24"/>
        </w:rPr>
        <w:t xml:space="preserve">ostvareni </w:t>
      </w:r>
      <w:r w:rsidRPr="007E20A1">
        <w:rPr>
          <w:rFonts w:ascii="Times New Roman" w:hAnsi="Times New Roman"/>
          <w:noProof/>
          <w:szCs w:val="24"/>
        </w:rPr>
        <w:t>su</w:t>
      </w:r>
      <w:r w:rsidRPr="000F79F2">
        <w:rPr>
          <w:rFonts w:ascii="Times New Roman" w:hAnsi="Times New Roman"/>
          <w:b/>
          <w:bCs/>
          <w:noProof/>
          <w:szCs w:val="24"/>
        </w:rPr>
        <w:t xml:space="preserve"> </w:t>
      </w:r>
      <w:r w:rsidRPr="000F79F2">
        <w:rPr>
          <w:rFonts w:ascii="Times New Roman" w:hAnsi="Times New Roman"/>
          <w:bCs/>
          <w:noProof/>
          <w:szCs w:val="24"/>
        </w:rPr>
        <w:t xml:space="preserve">u iznosu od </w:t>
      </w:r>
      <w:r>
        <w:rPr>
          <w:rFonts w:ascii="Times New Roman" w:hAnsi="Times New Roman"/>
          <w:bCs/>
          <w:noProof/>
          <w:szCs w:val="24"/>
        </w:rPr>
        <w:t>11.942.757,19</w:t>
      </w:r>
      <w:r w:rsidRPr="000F79F2">
        <w:rPr>
          <w:rFonts w:ascii="Times New Roman" w:hAnsi="Times New Roman"/>
          <w:bCs/>
          <w:noProof/>
          <w:szCs w:val="24"/>
        </w:rPr>
        <w:t xml:space="preserve"> </w:t>
      </w:r>
      <w:r w:rsidR="002078BA">
        <w:rPr>
          <w:rFonts w:ascii="Times New Roman" w:hAnsi="Times New Roman"/>
          <w:bCs/>
          <w:noProof/>
          <w:szCs w:val="24"/>
        </w:rPr>
        <w:t>eura</w:t>
      </w:r>
      <w:r w:rsidRPr="000F79F2">
        <w:rPr>
          <w:rFonts w:ascii="Times New Roman" w:hAnsi="Times New Roman"/>
          <w:bCs/>
          <w:noProof/>
          <w:szCs w:val="24"/>
        </w:rPr>
        <w:t xml:space="preserve"> </w:t>
      </w:r>
      <w:r w:rsidR="002078BA">
        <w:rPr>
          <w:rFonts w:ascii="Times New Roman" w:hAnsi="Times New Roman"/>
          <w:bCs/>
          <w:noProof/>
          <w:szCs w:val="24"/>
        </w:rPr>
        <w:t xml:space="preserve">što je 25,59 % više u odnosu na ostvarenje promatranog razdoblja prethodne godine, </w:t>
      </w:r>
      <w:r w:rsidR="006737A8">
        <w:rPr>
          <w:rFonts w:ascii="Times New Roman" w:hAnsi="Times New Roman"/>
          <w:bCs/>
          <w:noProof/>
          <w:szCs w:val="24"/>
        </w:rPr>
        <w:t>dok je ostvarenje u ovom obračunskom razdoblju u</w:t>
      </w:r>
      <w:r w:rsidR="00663E41">
        <w:rPr>
          <w:rFonts w:ascii="Times New Roman" w:hAnsi="Times New Roman"/>
          <w:bCs/>
          <w:noProof/>
          <w:szCs w:val="24"/>
        </w:rPr>
        <w:t xml:space="preserve"> odnosu na plan 50,02 %, a navedeno s</w:t>
      </w:r>
      <w:r w:rsidRPr="000F79F2">
        <w:rPr>
          <w:rFonts w:ascii="Times New Roman" w:hAnsi="Times New Roman"/>
          <w:bCs/>
          <w:noProof/>
          <w:szCs w:val="24"/>
        </w:rPr>
        <w:t xml:space="preserve">u </w:t>
      </w:r>
      <w:r w:rsidR="00663E41">
        <w:rPr>
          <w:rFonts w:ascii="Times New Roman" w:hAnsi="Times New Roman"/>
          <w:bCs/>
          <w:noProof/>
          <w:szCs w:val="24"/>
        </w:rPr>
        <w:t xml:space="preserve">u </w:t>
      </w:r>
      <w:r w:rsidRPr="000F79F2">
        <w:rPr>
          <w:rFonts w:ascii="Times New Roman" w:hAnsi="Times New Roman"/>
          <w:bCs/>
          <w:noProof/>
          <w:szCs w:val="24"/>
        </w:rPr>
        <w:t>cijelosti</w:t>
      </w:r>
      <w:r w:rsidR="00663E41">
        <w:rPr>
          <w:rFonts w:ascii="Times New Roman" w:hAnsi="Times New Roman"/>
          <w:bCs/>
          <w:noProof/>
          <w:szCs w:val="24"/>
        </w:rPr>
        <w:t xml:space="preserve"> </w:t>
      </w:r>
      <w:r w:rsidRPr="000F79F2">
        <w:rPr>
          <w:rFonts w:ascii="Times New Roman" w:hAnsi="Times New Roman"/>
          <w:bCs/>
          <w:noProof/>
          <w:szCs w:val="24"/>
        </w:rPr>
        <w:t>ostvarili korisnici u zdravstvu</w:t>
      </w:r>
      <w:r>
        <w:rPr>
          <w:rFonts w:ascii="Times New Roman" w:hAnsi="Times New Roman"/>
          <w:bCs/>
          <w:noProof/>
          <w:szCs w:val="24"/>
        </w:rPr>
        <w:t xml:space="preserve">. </w:t>
      </w:r>
    </w:p>
    <w:p w14:paraId="609DC9FE" w14:textId="190B429A" w:rsidR="002C5688" w:rsidRPr="007C61A7" w:rsidRDefault="002C5688" w:rsidP="002C5688">
      <w:pPr>
        <w:spacing w:line="360" w:lineRule="auto"/>
        <w:ind w:firstLine="708"/>
        <w:jc w:val="both"/>
        <w:rPr>
          <w:rFonts w:ascii="Times New Roman" w:hAnsi="Times New Roman"/>
          <w:bCs/>
          <w:noProof/>
          <w:szCs w:val="24"/>
          <w:highlight w:val="lightGray"/>
        </w:rPr>
      </w:pPr>
      <w:r w:rsidRPr="00A75154">
        <w:rPr>
          <w:rFonts w:ascii="Times New Roman" w:hAnsi="Times New Roman"/>
          <w:b/>
          <w:bCs/>
          <w:noProof/>
          <w:szCs w:val="24"/>
        </w:rPr>
        <w:t>Kazne, upravne mjere i ostali prihodi</w:t>
      </w:r>
      <w:r w:rsidRPr="00A75154">
        <w:rPr>
          <w:rFonts w:ascii="Times New Roman" w:hAnsi="Times New Roman"/>
          <w:bCs/>
          <w:noProof/>
          <w:szCs w:val="24"/>
        </w:rPr>
        <w:t xml:space="preserve"> ostvareni su </w:t>
      </w:r>
      <w:r w:rsidR="00101A2D">
        <w:rPr>
          <w:rFonts w:ascii="Times New Roman" w:hAnsi="Times New Roman"/>
          <w:bCs/>
          <w:noProof/>
          <w:szCs w:val="24"/>
        </w:rPr>
        <w:t xml:space="preserve">u </w:t>
      </w:r>
      <w:r w:rsidRPr="00A75154">
        <w:rPr>
          <w:rFonts w:ascii="Times New Roman" w:hAnsi="Times New Roman"/>
          <w:bCs/>
          <w:noProof/>
          <w:szCs w:val="24"/>
        </w:rPr>
        <w:t>iznosu</w:t>
      </w:r>
      <w:r w:rsidR="00101A2D">
        <w:rPr>
          <w:rFonts w:ascii="Times New Roman" w:hAnsi="Times New Roman"/>
          <w:bCs/>
          <w:noProof/>
          <w:szCs w:val="24"/>
        </w:rPr>
        <w:t xml:space="preserve"> od</w:t>
      </w:r>
      <w:r w:rsidRPr="00A75154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>193.395,46</w:t>
      </w:r>
      <w:r w:rsidRPr="00A75154">
        <w:rPr>
          <w:rFonts w:ascii="Times New Roman" w:hAnsi="Times New Roman"/>
          <w:bCs/>
          <w:noProof/>
          <w:szCs w:val="24"/>
        </w:rPr>
        <w:t xml:space="preserve"> </w:t>
      </w:r>
      <w:r w:rsidR="00101A2D">
        <w:rPr>
          <w:rFonts w:ascii="Times New Roman" w:hAnsi="Times New Roman"/>
          <w:bCs/>
          <w:noProof/>
          <w:szCs w:val="24"/>
        </w:rPr>
        <w:t>eura</w:t>
      </w:r>
      <w:r w:rsidRPr="00A75154">
        <w:rPr>
          <w:rFonts w:ascii="Times New Roman" w:hAnsi="Times New Roman"/>
          <w:bCs/>
          <w:noProof/>
          <w:szCs w:val="24"/>
        </w:rPr>
        <w:t xml:space="preserve"> što je </w:t>
      </w:r>
      <w:r>
        <w:rPr>
          <w:rFonts w:ascii="Times New Roman" w:hAnsi="Times New Roman"/>
          <w:bCs/>
          <w:noProof/>
          <w:szCs w:val="24"/>
        </w:rPr>
        <w:t>5,88</w:t>
      </w:r>
      <w:r w:rsidRPr="00A75154">
        <w:rPr>
          <w:rFonts w:ascii="Times New Roman" w:hAnsi="Times New Roman"/>
          <w:bCs/>
          <w:noProof/>
          <w:szCs w:val="24"/>
        </w:rPr>
        <w:t xml:space="preserve"> % </w:t>
      </w:r>
      <w:r>
        <w:rPr>
          <w:rFonts w:ascii="Times New Roman" w:hAnsi="Times New Roman"/>
          <w:bCs/>
          <w:noProof/>
          <w:szCs w:val="24"/>
        </w:rPr>
        <w:t>više u odnosu na ostvarenje prošle godine odnosno 50,23 % u odnosu na plan. Povećan</w:t>
      </w:r>
      <w:r w:rsidR="00101A2D">
        <w:rPr>
          <w:rFonts w:ascii="Times New Roman" w:hAnsi="Times New Roman"/>
          <w:bCs/>
          <w:noProof/>
          <w:szCs w:val="24"/>
        </w:rPr>
        <w:t>j</w:t>
      </w:r>
      <w:r>
        <w:rPr>
          <w:rFonts w:ascii="Times New Roman" w:hAnsi="Times New Roman"/>
          <w:bCs/>
          <w:noProof/>
          <w:szCs w:val="24"/>
        </w:rPr>
        <w:t xml:space="preserve">e ovih </w:t>
      </w:r>
      <w:r>
        <w:rPr>
          <w:rFonts w:ascii="Times New Roman" w:hAnsi="Times New Roman"/>
          <w:bCs/>
          <w:noProof/>
          <w:szCs w:val="24"/>
        </w:rPr>
        <w:lastRenderedPageBreak/>
        <w:t xml:space="preserve">prihoda </w:t>
      </w:r>
      <w:r w:rsidR="00101A2D">
        <w:rPr>
          <w:rFonts w:ascii="Times New Roman" w:hAnsi="Times New Roman"/>
          <w:bCs/>
          <w:noProof/>
          <w:szCs w:val="24"/>
        </w:rPr>
        <w:t>ostvario</w:t>
      </w:r>
      <w:r>
        <w:rPr>
          <w:rFonts w:ascii="Times New Roman" w:hAnsi="Times New Roman"/>
          <w:bCs/>
          <w:noProof/>
          <w:szCs w:val="24"/>
        </w:rPr>
        <w:t xml:space="preserve"> je Dom zdravlja</w:t>
      </w:r>
      <w:r w:rsidR="00285A04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>B</w:t>
      </w:r>
      <w:r w:rsidR="00101A2D">
        <w:rPr>
          <w:rFonts w:ascii="Times New Roman" w:hAnsi="Times New Roman"/>
          <w:bCs/>
          <w:noProof/>
          <w:szCs w:val="24"/>
        </w:rPr>
        <w:t>jelovarsko-bilogorske županije</w:t>
      </w:r>
      <w:r w:rsidR="00285A04">
        <w:rPr>
          <w:rFonts w:ascii="Times New Roman" w:hAnsi="Times New Roman"/>
          <w:bCs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>te</w:t>
      </w:r>
      <w:r w:rsidR="00101A2D">
        <w:rPr>
          <w:rFonts w:ascii="Times New Roman" w:hAnsi="Times New Roman"/>
          <w:bCs/>
          <w:noProof/>
          <w:szCs w:val="24"/>
        </w:rPr>
        <w:t xml:space="preserve"> Bjelovarsko-bilogorska županija za</w:t>
      </w:r>
      <w:r>
        <w:rPr>
          <w:rFonts w:ascii="Times New Roman" w:hAnsi="Times New Roman"/>
          <w:bCs/>
          <w:noProof/>
          <w:szCs w:val="24"/>
        </w:rPr>
        <w:t xml:space="preserve"> prihod od povrata stipendija.</w:t>
      </w:r>
    </w:p>
    <w:p w14:paraId="205B0D16" w14:textId="22CC0ED7" w:rsidR="002C5688" w:rsidRPr="00DA5532" w:rsidRDefault="002C5688" w:rsidP="002C5688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DA5532">
        <w:rPr>
          <w:rFonts w:ascii="Times New Roman" w:hAnsi="Times New Roman"/>
          <w:bCs/>
          <w:noProof/>
          <w:szCs w:val="24"/>
        </w:rPr>
        <w:tab/>
      </w:r>
      <w:r w:rsidRPr="00DA5532">
        <w:rPr>
          <w:rFonts w:ascii="Times New Roman" w:hAnsi="Times New Roman"/>
          <w:b/>
          <w:bCs/>
          <w:noProof/>
          <w:szCs w:val="24"/>
        </w:rPr>
        <w:t xml:space="preserve"> </w:t>
      </w:r>
      <w:r w:rsidRPr="00DA5532">
        <w:rPr>
          <w:rFonts w:ascii="Times New Roman" w:hAnsi="Times New Roman"/>
          <w:bCs/>
          <w:noProof/>
          <w:szCs w:val="24"/>
        </w:rPr>
        <w:t xml:space="preserve"> </w:t>
      </w:r>
      <w:r w:rsidRPr="00DA5532">
        <w:rPr>
          <w:rFonts w:ascii="Times New Roman" w:hAnsi="Times New Roman"/>
          <w:b/>
          <w:bCs/>
          <w:noProof/>
          <w:szCs w:val="24"/>
        </w:rPr>
        <w:t xml:space="preserve">Prihodi od prodaje neproizvedene dugotrajne imovine </w:t>
      </w:r>
      <w:r w:rsidR="00C41892" w:rsidRPr="00C41892">
        <w:rPr>
          <w:rFonts w:ascii="Times New Roman" w:hAnsi="Times New Roman"/>
          <w:noProof/>
          <w:szCs w:val="24"/>
        </w:rPr>
        <w:t>ostvareni su u iznosu od 23.427,33 eura</w:t>
      </w:r>
      <w:r w:rsidR="00C41892">
        <w:rPr>
          <w:rFonts w:ascii="Times New Roman" w:hAnsi="Times New Roman"/>
          <w:bCs/>
          <w:noProof/>
          <w:szCs w:val="24"/>
        </w:rPr>
        <w:t xml:space="preserve">, a </w:t>
      </w:r>
      <w:r w:rsidRPr="00DA5532">
        <w:rPr>
          <w:rFonts w:ascii="Times New Roman" w:hAnsi="Times New Roman"/>
          <w:bCs/>
          <w:noProof/>
          <w:szCs w:val="24"/>
        </w:rPr>
        <w:t>odnos</w:t>
      </w:r>
      <w:r w:rsidR="00C41892">
        <w:rPr>
          <w:rFonts w:ascii="Times New Roman" w:hAnsi="Times New Roman"/>
          <w:bCs/>
          <w:noProof/>
          <w:szCs w:val="24"/>
        </w:rPr>
        <w:t>e</w:t>
      </w:r>
      <w:r w:rsidRPr="00DA5532">
        <w:rPr>
          <w:rFonts w:ascii="Times New Roman" w:hAnsi="Times New Roman"/>
          <w:bCs/>
          <w:noProof/>
          <w:szCs w:val="24"/>
        </w:rPr>
        <w:t xml:space="preserve"> se na prihod od</w:t>
      </w:r>
      <w:r w:rsidR="00C41892">
        <w:rPr>
          <w:rFonts w:ascii="Times New Roman" w:hAnsi="Times New Roman"/>
          <w:bCs/>
          <w:noProof/>
          <w:szCs w:val="24"/>
        </w:rPr>
        <w:t xml:space="preserve"> zakupa i</w:t>
      </w:r>
      <w:r w:rsidRPr="00DA5532">
        <w:rPr>
          <w:rFonts w:ascii="Times New Roman" w:hAnsi="Times New Roman"/>
          <w:bCs/>
          <w:noProof/>
          <w:szCs w:val="24"/>
        </w:rPr>
        <w:t xml:space="preserve"> prodaje poljoprivrednog zemljišta </w:t>
      </w:r>
      <w:r w:rsidR="00C41892">
        <w:rPr>
          <w:rFonts w:ascii="Times New Roman" w:hAnsi="Times New Roman"/>
          <w:bCs/>
          <w:noProof/>
          <w:szCs w:val="24"/>
        </w:rPr>
        <w:t>te je</w:t>
      </w:r>
      <w:r>
        <w:rPr>
          <w:rFonts w:ascii="Times New Roman" w:hAnsi="Times New Roman"/>
          <w:bCs/>
          <w:noProof/>
          <w:szCs w:val="24"/>
        </w:rPr>
        <w:t xml:space="preserve"> u porastu </w:t>
      </w:r>
      <w:r w:rsidRPr="00DA5532">
        <w:rPr>
          <w:rFonts w:ascii="Times New Roman" w:hAnsi="Times New Roman"/>
          <w:bCs/>
          <w:noProof/>
          <w:szCs w:val="24"/>
        </w:rPr>
        <w:t>u odnosu na isto obračunsko razdoblje pr</w:t>
      </w:r>
      <w:r w:rsidR="00C41892">
        <w:rPr>
          <w:rFonts w:ascii="Times New Roman" w:hAnsi="Times New Roman"/>
          <w:bCs/>
          <w:noProof/>
          <w:szCs w:val="24"/>
        </w:rPr>
        <w:t>ethodne</w:t>
      </w:r>
      <w:r w:rsidRPr="00DA5532">
        <w:rPr>
          <w:rFonts w:ascii="Times New Roman" w:hAnsi="Times New Roman"/>
          <w:bCs/>
          <w:noProof/>
          <w:szCs w:val="24"/>
        </w:rPr>
        <w:t xml:space="preserve"> godine</w:t>
      </w:r>
      <w:r w:rsidR="00C41892">
        <w:rPr>
          <w:rFonts w:ascii="Times New Roman" w:hAnsi="Times New Roman"/>
          <w:bCs/>
          <w:noProof/>
          <w:szCs w:val="24"/>
        </w:rPr>
        <w:t xml:space="preserve"> za 159,80 %</w:t>
      </w:r>
      <w:r w:rsidRPr="00DA5532">
        <w:rPr>
          <w:rFonts w:ascii="Times New Roman" w:hAnsi="Times New Roman"/>
          <w:bCs/>
          <w:noProof/>
          <w:szCs w:val="24"/>
        </w:rPr>
        <w:t xml:space="preserve">, a </w:t>
      </w:r>
      <w:r>
        <w:rPr>
          <w:rFonts w:ascii="Times New Roman" w:hAnsi="Times New Roman"/>
          <w:bCs/>
          <w:noProof/>
          <w:szCs w:val="24"/>
        </w:rPr>
        <w:t>ostvarenje</w:t>
      </w:r>
      <w:r w:rsidR="00C41892">
        <w:rPr>
          <w:rFonts w:ascii="Times New Roman" w:hAnsi="Times New Roman"/>
          <w:bCs/>
          <w:noProof/>
          <w:szCs w:val="24"/>
        </w:rPr>
        <w:t xml:space="preserve"> u ovom obračunskom razdoblju</w:t>
      </w:r>
      <w:r>
        <w:rPr>
          <w:rFonts w:ascii="Times New Roman" w:hAnsi="Times New Roman"/>
          <w:bCs/>
          <w:noProof/>
          <w:szCs w:val="24"/>
        </w:rPr>
        <w:t xml:space="preserve"> 27,08%</w:t>
      </w:r>
      <w:r w:rsidR="00C41892">
        <w:rPr>
          <w:rFonts w:ascii="Times New Roman" w:hAnsi="Times New Roman"/>
          <w:bCs/>
          <w:noProof/>
          <w:szCs w:val="24"/>
        </w:rPr>
        <w:t xml:space="preserve"> u odnosu na plan</w:t>
      </w:r>
      <w:r>
        <w:rPr>
          <w:rFonts w:ascii="Times New Roman" w:hAnsi="Times New Roman"/>
          <w:bCs/>
          <w:noProof/>
          <w:szCs w:val="24"/>
        </w:rPr>
        <w:t>.</w:t>
      </w:r>
    </w:p>
    <w:p w14:paraId="6011C97A" w14:textId="095D0692" w:rsidR="002C5688" w:rsidRPr="00401C2F" w:rsidRDefault="002C5688" w:rsidP="002C5688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DA5532">
        <w:rPr>
          <w:rFonts w:ascii="Times New Roman" w:hAnsi="Times New Roman"/>
          <w:bCs/>
          <w:noProof/>
          <w:szCs w:val="24"/>
        </w:rPr>
        <w:tab/>
      </w:r>
      <w:r w:rsidRPr="00401C2F">
        <w:rPr>
          <w:rFonts w:ascii="Times New Roman" w:hAnsi="Times New Roman"/>
          <w:bCs/>
          <w:noProof/>
          <w:szCs w:val="24"/>
        </w:rPr>
        <w:tab/>
        <w:t xml:space="preserve"> 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Pr="00401C2F">
        <w:rPr>
          <w:rFonts w:ascii="Times New Roman" w:hAnsi="Times New Roman"/>
          <w:b/>
          <w:bCs/>
          <w:noProof/>
          <w:szCs w:val="24"/>
        </w:rPr>
        <w:t xml:space="preserve">Prihodi od prodaje proizvedene dugotrajne imovine </w:t>
      </w:r>
      <w:r w:rsidR="00EF73C8" w:rsidRPr="00EF73C8">
        <w:rPr>
          <w:rFonts w:ascii="Times New Roman" w:hAnsi="Times New Roman"/>
          <w:noProof/>
          <w:szCs w:val="24"/>
        </w:rPr>
        <w:t>ostvareni su u iznosu od</w:t>
      </w:r>
      <w:r w:rsidR="00EF73C8">
        <w:rPr>
          <w:rFonts w:ascii="Times New Roman" w:hAnsi="Times New Roman"/>
          <w:noProof/>
          <w:szCs w:val="24"/>
        </w:rPr>
        <w:t xml:space="preserve"> 9.133,82 eura odnosno 75,85 % u odnosu na plan, a</w:t>
      </w:r>
      <w:r w:rsidR="00EF73C8" w:rsidRPr="00EF73C8">
        <w:rPr>
          <w:rFonts w:ascii="Times New Roman" w:hAnsi="Times New Roman"/>
          <w:noProof/>
          <w:szCs w:val="24"/>
        </w:rPr>
        <w:t xml:space="preserve"> </w:t>
      </w:r>
      <w:r w:rsidRPr="00EF73C8">
        <w:rPr>
          <w:rFonts w:ascii="Times New Roman" w:hAnsi="Times New Roman"/>
          <w:noProof/>
          <w:szCs w:val="24"/>
        </w:rPr>
        <w:t>odnose</w:t>
      </w:r>
      <w:r w:rsidRPr="00401C2F">
        <w:rPr>
          <w:rFonts w:ascii="Times New Roman" w:hAnsi="Times New Roman"/>
          <w:bCs/>
          <w:noProof/>
          <w:szCs w:val="24"/>
        </w:rPr>
        <w:t xml:space="preserve"> se na prodaju, odnosno obročnu otplatu stanova kod proračunskih korisnika u iznosu </w:t>
      </w:r>
      <w:r>
        <w:rPr>
          <w:rFonts w:ascii="Times New Roman" w:hAnsi="Times New Roman"/>
          <w:bCs/>
          <w:noProof/>
          <w:szCs w:val="24"/>
        </w:rPr>
        <w:t>1.305,17</w:t>
      </w:r>
      <w:r w:rsidR="00EF73C8">
        <w:rPr>
          <w:rFonts w:ascii="Times New Roman" w:hAnsi="Times New Roman"/>
          <w:bCs/>
          <w:noProof/>
          <w:szCs w:val="24"/>
        </w:rPr>
        <w:t xml:space="preserve"> eura</w:t>
      </w:r>
      <w:r w:rsidRPr="00401C2F">
        <w:rPr>
          <w:rFonts w:ascii="Times New Roman" w:hAnsi="Times New Roman"/>
          <w:bCs/>
          <w:noProof/>
          <w:szCs w:val="24"/>
        </w:rPr>
        <w:t xml:space="preserve">,  prodaju </w:t>
      </w:r>
      <w:r w:rsidR="00EF73C8">
        <w:rPr>
          <w:rFonts w:ascii="Times New Roman" w:hAnsi="Times New Roman"/>
          <w:bCs/>
          <w:noProof/>
          <w:szCs w:val="24"/>
        </w:rPr>
        <w:t>postr</w:t>
      </w:r>
      <w:r w:rsidR="009114BF">
        <w:rPr>
          <w:rFonts w:ascii="Times New Roman" w:hAnsi="Times New Roman"/>
          <w:bCs/>
          <w:noProof/>
          <w:szCs w:val="24"/>
        </w:rPr>
        <w:t>o</w:t>
      </w:r>
      <w:r w:rsidR="00EF73C8">
        <w:rPr>
          <w:rFonts w:ascii="Times New Roman" w:hAnsi="Times New Roman"/>
          <w:bCs/>
          <w:noProof/>
          <w:szCs w:val="24"/>
        </w:rPr>
        <w:t>jenja i opreme (uredske opreme, uređaja i opreme)</w:t>
      </w:r>
      <w:r w:rsidRPr="00401C2F">
        <w:rPr>
          <w:rFonts w:ascii="Times New Roman" w:hAnsi="Times New Roman"/>
          <w:bCs/>
          <w:noProof/>
          <w:szCs w:val="24"/>
        </w:rPr>
        <w:t xml:space="preserve"> u iznosu od </w:t>
      </w:r>
      <w:r w:rsidR="00EF73C8">
        <w:rPr>
          <w:rFonts w:ascii="Times New Roman" w:hAnsi="Times New Roman"/>
          <w:bCs/>
          <w:noProof/>
          <w:szCs w:val="24"/>
        </w:rPr>
        <w:t>3.430</w:t>
      </w:r>
      <w:r>
        <w:rPr>
          <w:rFonts w:ascii="Times New Roman" w:hAnsi="Times New Roman"/>
          <w:bCs/>
          <w:noProof/>
          <w:szCs w:val="24"/>
        </w:rPr>
        <w:t>,00</w:t>
      </w:r>
      <w:r w:rsidRPr="00401C2F">
        <w:rPr>
          <w:rFonts w:ascii="Times New Roman" w:hAnsi="Times New Roman"/>
          <w:bCs/>
          <w:noProof/>
          <w:szCs w:val="24"/>
        </w:rPr>
        <w:t xml:space="preserve"> </w:t>
      </w:r>
      <w:r w:rsidR="00EF73C8">
        <w:rPr>
          <w:rFonts w:ascii="Times New Roman" w:hAnsi="Times New Roman"/>
          <w:bCs/>
          <w:noProof/>
          <w:szCs w:val="24"/>
        </w:rPr>
        <w:t>eura</w:t>
      </w:r>
      <w:r w:rsidRPr="00401C2F">
        <w:rPr>
          <w:rFonts w:ascii="Times New Roman" w:hAnsi="Times New Roman"/>
          <w:bCs/>
          <w:noProof/>
          <w:szCs w:val="24"/>
        </w:rPr>
        <w:t xml:space="preserve"> te prodaju osobnog automobila </w:t>
      </w:r>
      <w:r>
        <w:rPr>
          <w:rFonts w:ascii="Times New Roman" w:hAnsi="Times New Roman"/>
          <w:bCs/>
          <w:noProof/>
          <w:szCs w:val="24"/>
        </w:rPr>
        <w:t xml:space="preserve">i kombi vozila </w:t>
      </w:r>
      <w:r w:rsidRPr="00401C2F">
        <w:rPr>
          <w:rFonts w:ascii="Times New Roman" w:hAnsi="Times New Roman"/>
          <w:bCs/>
          <w:noProof/>
          <w:szCs w:val="24"/>
        </w:rPr>
        <w:t xml:space="preserve">u iznosu od </w:t>
      </w:r>
      <w:r w:rsidR="00EF73C8">
        <w:rPr>
          <w:rFonts w:ascii="Times New Roman" w:hAnsi="Times New Roman"/>
          <w:bCs/>
          <w:noProof/>
          <w:szCs w:val="24"/>
        </w:rPr>
        <w:t>4.398,65</w:t>
      </w:r>
      <w:r w:rsidRPr="00401C2F">
        <w:rPr>
          <w:rFonts w:ascii="Times New Roman" w:hAnsi="Times New Roman"/>
          <w:bCs/>
          <w:noProof/>
          <w:szCs w:val="24"/>
        </w:rPr>
        <w:t xml:space="preserve"> </w:t>
      </w:r>
      <w:r w:rsidR="00EF73C8">
        <w:rPr>
          <w:rFonts w:ascii="Times New Roman" w:hAnsi="Times New Roman"/>
          <w:bCs/>
          <w:noProof/>
          <w:szCs w:val="24"/>
        </w:rPr>
        <w:t>eura</w:t>
      </w:r>
      <w:r w:rsidRPr="00401C2F">
        <w:rPr>
          <w:rFonts w:ascii="Times New Roman" w:hAnsi="Times New Roman"/>
          <w:bCs/>
          <w:noProof/>
          <w:szCs w:val="24"/>
        </w:rPr>
        <w:t>.</w:t>
      </w:r>
    </w:p>
    <w:p w14:paraId="256B27E9" w14:textId="77777777" w:rsidR="002C5688" w:rsidRPr="007C61A7" w:rsidRDefault="002C5688" w:rsidP="002C5688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  <w:highlight w:val="lightGray"/>
        </w:rPr>
      </w:pPr>
    </w:p>
    <w:p w14:paraId="34AB19F3" w14:textId="1824A12A" w:rsidR="00D355BF" w:rsidRPr="00F815C8" w:rsidRDefault="002C5688" w:rsidP="00D355BF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F815C8">
        <w:rPr>
          <w:rFonts w:ascii="Times New Roman" w:hAnsi="Times New Roman"/>
          <w:bCs/>
          <w:noProof/>
          <w:szCs w:val="24"/>
        </w:rPr>
        <w:tab/>
      </w:r>
      <w:r w:rsidR="00D355BF" w:rsidRPr="00F815C8">
        <w:rPr>
          <w:rFonts w:ascii="Times New Roman" w:hAnsi="Times New Roman"/>
          <w:b/>
          <w:i/>
          <w:szCs w:val="24"/>
        </w:rPr>
        <w:t xml:space="preserve">Rashodi poslovanja </w:t>
      </w:r>
      <w:r w:rsidR="00D355BF" w:rsidRPr="00F815C8">
        <w:rPr>
          <w:rFonts w:ascii="Times New Roman" w:hAnsi="Times New Roman"/>
          <w:bCs/>
          <w:iCs/>
          <w:szCs w:val="24"/>
        </w:rPr>
        <w:t>ostvareni su u ukupnom iznosu</w:t>
      </w:r>
      <w:r w:rsidR="00D355BF" w:rsidRPr="00F815C8">
        <w:rPr>
          <w:rFonts w:ascii="Times New Roman" w:hAnsi="Times New Roman"/>
          <w:bCs/>
          <w:noProof/>
          <w:szCs w:val="24"/>
        </w:rPr>
        <w:t xml:space="preserve"> od </w:t>
      </w:r>
      <w:r w:rsidR="00D355BF">
        <w:rPr>
          <w:rFonts w:ascii="Times New Roman" w:hAnsi="Times New Roman"/>
          <w:bCs/>
          <w:noProof/>
          <w:szCs w:val="24"/>
        </w:rPr>
        <w:t>55.583.819,49</w:t>
      </w:r>
      <w:r w:rsidR="00D355BF" w:rsidRPr="00F815C8">
        <w:rPr>
          <w:rFonts w:ascii="Times New Roman" w:hAnsi="Times New Roman"/>
          <w:bCs/>
          <w:noProof/>
          <w:szCs w:val="24"/>
        </w:rPr>
        <w:t xml:space="preserve"> </w:t>
      </w:r>
      <w:r w:rsidR="00215CCA">
        <w:rPr>
          <w:rFonts w:ascii="Times New Roman" w:hAnsi="Times New Roman"/>
          <w:bCs/>
          <w:noProof/>
          <w:szCs w:val="24"/>
        </w:rPr>
        <w:t>eura</w:t>
      </w:r>
      <w:r w:rsidR="00D355BF" w:rsidRPr="00F815C8">
        <w:rPr>
          <w:rFonts w:ascii="Times New Roman" w:hAnsi="Times New Roman"/>
          <w:bCs/>
          <w:noProof/>
          <w:szCs w:val="24"/>
        </w:rPr>
        <w:t xml:space="preserve"> </w:t>
      </w:r>
      <w:r w:rsidR="00D355BF">
        <w:rPr>
          <w:rFonts w:ascii="Times New Roman" w:hAnsi="Times New Roman"/>
          <w:bCs/>
          <w:noProof/>
          <w:szCs w:val="24"/>
        </w:rPr>
        <w:t>što je za</w:t>
      </w:r>
      <w:r w:rsidR="00D355BF" w:rsidRPr="00F815C8">
        <w:rPr>
          <w:rFonts w:ascii="Times New Roman" w:hAnsi="Times New Roman"/>
          <w:bCs/>
          <w:noProof/>
          <w:szCs w:val="24"/>
        </w:rPr>
        <w:t xml:space="preserve"> </w:t>
      </w:r>
      <w:r w:rsidR="00D355BF">
        <w:rPr>
          <w:rFonts w:ascii="Times New Roman" w:hAnsi="Times New Roman"/>
          <w:bCs/>
          <w:noProof/>
          <w:szCs w:val="24"/>
        </w:rPr>
        <w:t xml:space="preserve">20,67 </w:t>
      </w:r>
      <w:r w:rsidR="00D355BF" w:rsidRPr="00F815C8">
        <w:rPr>
          <w:rFonts w:ascii="Times New Roman" w:hAnsi="Times New Roman"/>
          <w:bCs/>
          <w:noProof/>
          <w:szCs w:val="24"/>
        </w:rPr>
        <w:t>%</w:t>
      </w:r>
      <w:r w:rsidR="00D355BF">
        <w:rPr>
          <w:rFonts w:ascii="Times New Roman" w:hAnsi="Times New Roman"/>
          <w:bCs/>
          <w:noProof/>
          <w:szCs w:val="24"/>
        </w:rPr>
        <w:t xml:space="preserve"> više u odnosu na promatrano razdoblje prethodne godine odnosno 53,71 % u odnosu</w:t>
      </w:r>
      <w:r w:rsidR="00D355BF" w:rsidRPr="00F815C8">
        <w:rPr>
          <w:rFonts w:ascii="Times New Roman" w:hAnsi="Times New Roman"/>
          <w:bCs/>
          <w:noProof/>
          <w:szCs w:val="24"/>
        </w:rPr>
        <w:t xml:space="preserve"> na plan tekuće godine</w:t>
      </w:r>
      <w:r w:rsidR="00D355BF">
        <w:rPr>
          <w:rFonts w:ascii="Times New Roman" w:hAnsi="Times New Roman"/>
          <w:bCs/>
          <w:noProof/>
          <w:szCs w:val="24"/>
        </w:rPr>
        <w:t>.</w:t>
      </w:r>
    </w:p>
    <w:p w14:paraId="230F4197" w14:textId="6E347466" w:rsidR="00D355BF" w:rsidRPr="001B6FDD" w:rsidRDefault="00D355BF" w:rsidP="00D355BF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1B6FDD">
        <w:rPr>
          <w:rFonts w:ascii="Times New Roman" w:hAnsi="Times New Roman"/>
          <w:bCs/>
          <w:noProof/>
          <w:szCs w:val="24"/>
        </w:rPr>
        <w:tab/>
      </w:r>
      <w:r w:rsidRPr="001B6FDD">
        <w:rPr>
          <w:rFonts w:ascii="Times New Roman" w:hAnsi="Times New Roman"/>
          <w:b/>
          <w:bCs/>
          <w:noProof/>
          <w:szCs w:val="24"/>
        </w:rPr>
        <w:t xml:space="preserve"> Rashodi za zaposlene </w:t>
      </w:r>
      <w:r w:rsidR="00215CCA" w:rsidRPr="00215CCA">
        <w:rPr>
          <w:rFonts w:ascii="Times New Roman" w:hAnsi="Times New Roman"/>
          <w:noProof/>
          <w:szCs w:val="24"/>
        </w:rPr>
        <w:t>ostvareni su</w:t>
      </w:r>
      <w:r w:rsidR="00215CCA">
        <w:rPr>
          <w:rFonts w:ascii="Times New Roman" w:hAnsi="Times New Roman"/>
          <w:bCs/>
          <w:noProof/>
          <w:szCs w:val="24"/>
        </w:rPr>
        <w:t xml:space="preserve"> u ukupnom iznosu od 40.887.598,48 eura što je 25,40 % više u odnosu na </w:t>
      </w:r>
      <w:r w:rsidRPr="001B6FDD">
        <w:rPr>
          <w:rFonts w:ascii="Times New Roman" w:hAnsi="Times New Roman"/>
          <w:bCs/>
          <w:noProof/>
          <w:szCs w:val="24"/>
        </w:rPr>
        <w:t xml:space="preserve">promatrano razdoblje prethodne godine </w:t>
      </w:r>
      <w:bookmarkStart w:id="0" w:name="_Hlk140487741"/>
      <w:r w:rsidR="006055D7">
        <w:rPr>
          <w:rFonts w:ascii="Times New Roman" w:hAnsi="Times New Roman"/>
          <w:bCs/>
          <w:noProof/>
          <w:szCs w:val="24"/>
        </w:rPr>
        <w:t xml:space="preserve">budući da je </w:t>
      </w:r>
      <w:r>
        <w:rPr>
          <w:rFonts w:ascii="Times New Roman" w:hAnsi="Times New Roman"/>
          <w:bCs/>
          <w:noProof/>
          <w:szCs w:val="24"/>
        </w:rPr>
        <w:t>promj</w:t>
      </w:r>
      <w:r w:rsidR="006055D7">
        <w:rPr>
          <w:rFonts w:ascii="Times New Roman" w:hAnsi="Times New Roman"/>
          <w:bCs/>
          <w:noProof/>
          <w:szCs w:val="24"/>
        </w:rPr>
        <w:t>enjen</w:t>
      </w:r>
      <w:r>
        <w:rPr>
          <w:rFonts w:ascii="Times New Roman" w:hAnsi="Times New Roman"/>
          <w:bCs/>
          <w:noProof/>
          <w:szCs w:val="24"/>
        </w:rPr>
        <w:t xml:space="preserve"> način iskazivanja rashoda za plaće</w:t>
      </w:r>
      <w:r w:rsidR="00C407C5">
        <w:rPr>
          <w:rFonts w:ascii="Times New Roman" w:hAnsi="Times New Roman"/>
          <w:bCs/>
          <w:noProof/>
          <w:szCs w:val="24"/>
        </w:rPr>
        <w:t xml:space="preserve"> te su plaće</w:t>
      </w:r>
      <w:r>
        <w:rPr>
          <w:rFonts w:ascii="Times New Roman" w:hAnsi="Times New Roman"/>
          <w:bCs/>
          <w:noProof/>
          <w:szCs w:val="24"/>
        </w:rPr>
        <w:t xml:space="preserve"> za mjesec lipanj 2025. godine</w:t>
      </w:r>
      <w:r w:rsidR="006055D7">
        <w:rPr>
          <w:rFonts w:ascii="Times New Roman" w:hAnsi="Times New Roman"/>
          <w:bCs/>
          <w:noProof/>
          <w:szCs w:val="24"/>
        </w:rPr>
        <w:t xml:space="preserve"> kod Bjelovarsko-bilogorske županije i proračunskih korisnika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6055D7" w:rsidRPr="00B56A86">
        <w:rPr>
          <w:rFonts w:ascii="Times New Roman" w:hAnsi="Times New Roman"/>
          <w:bCs/>
          <w:szCs w:val="24"/>
        </w:rPr>
        <w:t>koj</w:t>
      </w:r>
      <w:r w:rsidR="00C407C5">
        <w:rPr>
          <w:rFonts w:ascii="Times New Roman" w:hAnsi="Times New Roman"/>
          <w:bCs/>
          <w:szCs w:val="24"/>
        </w:rPr>
        <w:t>e</w:t>
      </w:r>
      <w:r w:rsidR="006055D7" w:rsidRPr="00B56A86">
        <w:rPr>
          <w:rFonts w:ascii="Times New Roman" w:hAnsi="Times New Roman"/>
          <w:bCs/>
          <w:szCs w:val="24"/>
        </w:rPr>
        <w:t xml:space="preserve"> su se u prethodnim razdobljima iskazival</w:t>
      </w:r>
      <w:r w:rsidR="00C407C5">
        <w:rPr>
          <w:rFonts w:ascii="Times New Roman" w:hAnsi="Times New Roman"/>
          <w:bCs/>
          <w:szCs w:val="24"/>
        </w:rPr>
        <w:t>e</w:t>
      </w:r>
      <w:r w:rsidR="006055D7" w:rsidRPr="00B56A86">
        <w:rPr>
          <w:rFonts w:ascii="Times New Roman" w:hAnsi="Times New Roman"/>
          <w:bCs/>
          <w:szCs w:val="24"/>
        </w:rPr>
        <w:t xml:space="preserve"> na kontu 193110</w:t>
      </w:r>
      <w:r w:rsidR="006055D7">
        <w:rPr>
          <w:rFonts w:ascii="Times New Roman" w:hAnsi="Times New Roman"/>
          <w:bCs/>
          <w:szCs w:val="24"/>
        </w:rPr>
        <w:t xml:space="preserve"> – Kontinuirani rashodi budućih razdoblja</w:t>
      </w:r>
      <w:r w:rsidR="00C407C5">
        <w:rPr>
          <w:rFonts w:ascii="Times New Roman" w:hAnsi="Times New Roman"/>
          <w:bCs/>
          <w:szCs w:val="24"/>
        </w:rPr>
        <w:t xml:space="preserve"> sada iskazane</w:t>
      </w:r>
      <w:r w:rsidR="006055D7">
        <w:rPr>
          <w:rFonts w:ascii="Times New Roman" w:hAnsi="Times New Roman"/>
          <w:bCs/>
          <w:szCs w:val="24"/>
        </w:rPr>
        <w:t xml:space="preserve"> na </w:t>
      </w:r>
      <w:r w:rsidR="00C407C5">
        <w:rPr>
          <w:rFonts w:ascii="Times New Roman" w:hAnsi="Times New Roman"/>
          <w:bCs/>
          <w:szCs w:val="24"/>
        </w:rPr>
        <w:t>pripadajućim rashodima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C407C5">
        <w:rPr>
          <w:rFonts w:ascii="Times New Roman" w:hAnsi="Times New Roman"/>
          <w:bCs/>
          <w:noProof/>
          <w:szCs w:val="24"/>
        </w:rPr>
        <w:t>i</w:t>
      </w:r>
      <w:r>
        <w:rPr>
          <w:rFonts w:ascii="Times New Roman" w:hAnsi="Times New Roman"/>
          <w:bCs/>
          <w:noProof/>
          <w:szCs w:val="24"/>
        </w:rPr>
        <w:t xml:space="preserve"> u izvještajnom razdoblju ostvaruje</w:t>
      </w:r>
      <w:r w:rsidR="006055D7">
        <w:rPr>
          <w:rFonts w:ascii="Times New Roman" w:hAnsi="Times New Roman"/>
          <w:bCs/>
          <w:noProof/>
          <w:szCs w:val="24"/>
        </w:rPr>
        <w:t xml:space="preserve"> </w:t>
      </w:r>
      <w:r w:rsidR="00C407C5">
        <w:rPr>
          <w:rFonts w:ascii="Times New Roman" w:hAnsi="Times New Roman"/>
          <w:bCs/>
          <w:noProof/>
          <w:szCs w:val="24"/>
        </w:rPr>
        <w:t xml:space="preserve">se </w:t>
      </w:r>
      <w:r>
        <w:rPr>
          <w:rFonts w:ascii="Times New Roman" w:hAnsi="Times New Roman"/>
          <w:bCs/>
          <w:noProof/>
          <w:szCs w:val="24"/>
        </w:rPr>
        <w:t>sedmi rashod za plaću</w:t>
      </w:r>
      <w:r w:rsidR="00E5799A">
        <w:rPr>
          <w:rFonts w:ascii="Times New Roman" w:hAnsi="Times New Roman"/>
          <w:bCs/>
          <w:noProof/>
          <w:szCs w:val="24"/>
        </w:rPr>
        <w:t xml:space="preserve"> dok je ostvarenje u ovom obračunskom razdoblju 55,22 % u odnosu na plan.</w:t>
      </w:r>
    </w:p>
    <w:bookmarkEnd w:id="0"/>
    <w:p w14:paraId="790931F6" w14:textId="6B954F86" w:rsidR="00EB5DA7" w:rsidRDefault="00D355BF" w:rsidP="00EB5DA7">
      <w:pPr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 w:rsidRPr="00201918">
        <w:rPr>
          <w:rFonts w:ascii="Times New Roman" w:hAnsi="Times New Roman"/>
          <w:b/>
          <w:bCs/>
          <w:noProof/>
          <w:szCs w:val="24"/>
        </w:rPr>
        <w:tab/>
      </w:r>
      <w:r w:rsidRPr="00856A0A">
        <w:rPr>
          <w:rFonts w:ascii="Times New Roman" w:hAnsi="Times New Roman"/>
          <w:b/>
          <w:noProof/>
          <w:szCs w:val="24"/>
        </w:rPr>
        <w:t>Materijalni rashodi</w:t>
      </w:r>
      <w:r w:rsidR="00730525">
        <w:rPr>
          <w:rFonts w:ascii="Times New Roman" w:hAnsi="Times New Roman"/>
          <w:b/>
          <w:noProof/>
          <w:szCs w:val="24"/>
        </w:rPr>
        <w:t xml:space="preserve"> </w:t>
      </w:r>
      <w:r w:rsidR="00730525" w:rsidRPr="00730525">
        <w:rPr>
          <w:rFonts w:ascii="Times New Roman" w:hAnsi="Times New Roman"/>
          <w:bCs/>
          <w:noProof/>
          <w:szCs w:val="24"/>
        </w:rPr>
        <w:t>ostv</w:t>
      </w:r>
      <w:r w:rsidR="00730525">
        <w:rPr>
          <w:rFonts w:ascii="Times New Roman" w:hAnsi="Times New Roman"/>
          <w:bCs/>
          <w:noProof/>
          <w:szCs w:val="24"/>
        </w:rPr>
        <w:t>a</w:t>
      </w:r>
      <w:r w:rsidR="00730525" w:rsidRPr="00730525">
        <w:rPr>
          <w:rFonts w:ascii="Times New Roman" w:hAnsi="Times New Roman"/>
          <w:bCs/>
          <w:noProof/>
          <w:szCs w:val="24"/>
        </w:rPr>
        <w:t>reni su u ukupnom iznosu od</w:t>
      </w:r>
      <w:r w:rsidR="00730525">
        <w:rPr>
          <w:rFonts w:ascii="Times New Roman" w:hAnsi="Times New Roman"/>
          <w:bCs/>
          <w:noProof/>
          <w:szCs w:val="24"/>
        </w:rPr>
        <w:t xml:space="preserve"> 10.174.803,27 eura</w:t>
      </w:r>
      <w:r w:rsidRPr="00201918">
        <w:rPr>
          <w:rFonts w:ascii="Times New Roman" w:hAnsi="Times New Roman"/>
          <w:bCs/>
          <w:noProof/>
          <w:szCs w:val="24"/>
        </w:rPr>
        <w:t xml:space="preserve"> </w:t>
      </w:r>
      <w:r w:rsidR="00730525">
        <w:rPr>
          <w:rFonts w:ascii="Times New Roman" w:hAnsi="Times New Roman"/>
          <w:bCs/>
          <w:noProof/>
          <w:szCs w:val="24"/>
        </w:rPr>
        <w:t>što je 8,60</w:t>
      </w:r>
      <w:r w:rsidRPr="00201918">
        <w:rPr>
          <w:rFonts w:ascii="Times New Roman" w:hAnsi="Times New Roman"/>
          <w:bCs/>
          <w:noProof/>
          <w:szCs w:val="24"/>
        </w:rPr>
        <w:t xml:space="preserve"> % </w:t>
      </w:r>
      <w:r w:rsidR="00730525">
        <w:rPr>
          <w:rFonts w:ascii="Times New Roman" w:hAnsi="Times New Roman"/>
          <w:bCs/>
          <w:noProof/>
          <w:szCs w:val="24"/>
        </w:rPr>
        <w:t xml:space="preserve">više </w:t>
      </w:r>
      <w:r w:rsidRPr="00201918">
        <w:rPr>
          <w:rFonts w:ascii="Times New Roman" w:hAnsi="Times New Roman"/>
          <w:bCs/>
          <w:noProof/>
          <w:szCs w:val="24"/>
        </w:rPr>
        <w:t>u odnosu na promatrano razdoblje prethodne godine dok</w:t>
      </w:r>
      <w:r w:rsidR="00730525">
        <w:rPr>
          <w:rFonts w:ascii="Times New Roman" w:hAnsi="Times New Roman"/>
          <w:bCs/>
          <w:noProof/>
          <w:szCs w:val="24"/>
        </w:rPr>
        <w:t xml:space="preserve"> je</w:t>
      </w:r>
      <w:r w:rsidRPr="00201918">
        <w:rPr>
          <w:rFonts w:ascii="Times New Roman" w:hAnsi="Times New Roman"/>
          <w:bCs/>
          <w:noProof/>
          <w:szCs w:val="24"/>
        </w:rPr>
        <w:t xml:space="preserve"> </w:t>
      </w:r>
      <w:r w:rsidR="00487D42">
        <w:rPr>
          <w:rFonts w:ascii="Times New Roman" w:hAnsi="Times New Roman"/>
          <w:bCs/>
          <w:noProof/>
          <w:szCs w:val="24"/>
        </w:rPr>
        <w:t>ostvarenje u ovom obračunskom razdoblju 47,85 %</w:t>
      </w:r>
      <w:r w:rsidRPr="00201918">
        <w:rPr>
          <w:rFonts w:ascii="Times New Roman" w:hAnsi="Times New Roman"/>
          <w:bCs/>
          <w:noProof/>
          <w:szCs w:val="24"/>
        </w:rPr>
        <w:t xml:space="preserve"> u odnosu na plan tekuće godine. </w:t>
      </w:r>
      <w:r>
        <w:rPr>
          <w:rFonts w:ascii="Times New Roman" w:hAnsi="Times New Roman"/>
          <w:bCs/>
          <w:noProof/>
          <w:szCs w:val="24"/>
        </w:rPr>
        <w:t xml:space="preserve"> </w:t>
      </w:r>
      <w:r w:rsidR="00EB5DA7" w:rsidRPr="00EB5DA7">
        <w:rPr>
          <w:rFonts w:ascii="Times New Roman" w:hAnsi="Times New Roman"/>
          <w:bCs/>
          <w:noProof/>
          <w:szCs w:val="24"/>
        </w:rPr>
        <w:t xml:space="preserve">Intelektualne i osobne usluge bilježe povećanje u odnosu na prethodnu godinu, a najvećim dijelom iskazane su kod </w:t>
      </w:r>
      <w:r w:rsidR="00EB5DA7">
        <w:rPr>
          <w:rFonts w:ascii="Times New Roman" w:hAnsi="Times New Roman"/>
          <w:bCs/>
          <w:noProof/>
          <w:szCs w:val="24"/>
        </w:rPr>
        <w:t>Bjelovarsko-bilogorske županije</w:t>
      </w:r>
      <w:r w:rsidR="00EB5DA7" w:rsidRPr="00EB5DA7">
        <w:rPr>
          <w:rFonts w:ascii="Times New Roman" w:hAnsi="Times New Roman"/>
          <w:bCs/>
          <w:noProof/>
          <w:szCs w:val="24"/>
        </w:rPr>
        <w:t xml:space="preserve"> za izradu projektno - tehničke dokumentacije za projekt Eko-turizam 360, izradu geodetskog snimka, potpore za razvoj i unapređenje lovstva na području </w:t>
      </w:r>
      <w:r w:rsidR="00EB5DA7">
        <w:rPr>
          <w:rFonts w:ascii="Times New Roman" w:hAnsi="Times New Roman"/>
          <w:bCs/>
          <w:noProof/>
          <w:szCs w:val="24"/>
        </w:rPr>
        <w:t>Bjelovarsko-bilogorske županije</w:t>
      </w:r>
      <w:r w:rsidR="00EB5DA7" w:rsidRPr="00EB5DA7">
        <w:rPr>
          <w:rFonts w:ascii="Times New Roman" w:hAnsi="Times New Roman"/>
          <w:bCs/>
          <w:noProof/>
          <w:szCs w:val="24"/>
        </w:rPr>
        <w:t xml:space="preserve"> i izradu elaborata za procjenu tržišne vrijednosti zemljišta te kod Doma zdravlja </w:t>
      </w:r>
      <w:r w:rsidR="00EB5DA7">
        <w:rPr>
          <w:rFonts w:ascii="Times New Roman" w:hAnsi="Times New Roman"/>
          <w:bCs/>
          <w:noProof/>
          <w:szCs w:val="24"/>
        </w:rPr>
        <w:t>Bjelovarsko-bilogorske županije</w:t>
      </w:r>
      <w:r w:rsidR="00EB5DA7" w:rsidRPr="00EB5DA7">
        <w:rPr>
          <w:rFonts w:ascii="Times New Roman" w:hAnsi="Times New Roman"/>
          <w:bCs/>
          <w:noProof/>
          <w:szCs w:val="24"/>
        </w:rPr>
        <w:t xml:space="preserve"> za ugovore o djelu, Zavoda za hitnu medicinu </w:t>
      </w:r>
      <w:r w:rsidR="00EB5DA7">
        <w:rPr>
          <w:rFonts w:ascii="Times New Roman" w:hAnsi="Times New Roman"/>
          <w:bCs/>
          <w:noProof/>
          <w:szCs w:val="24"/>
        </w:rPr>
        <w:t>Bjelovarsko-bilogorske županije</w:t>
      </w:r>
      <w:r w:rsidR="00EB5DA7" w:rsidRPr="00EB5DA7">
        <w:rPr>
          <w:rFonts w:ascii="Times New Roman" w:hAnsi="Times New Roman"/>
          <w:bCs/>
          <w:noProof/>
          <w:szCs w:val="24"/>
        </w:rPr>
        <w:t xml:space="preserve"> za usluge odvjetnika i pravnog savjetovanja i OŠ V</w:t>
      </w:r>
      <w:r w:rsidR="00EB5DA7">
        <w:rPr>
          <w:rFonts w:ascii="Times New Roman" w:hAnsi="Times New Roman"/>
          <w:bCs/>
          <w:noProof/>
          <w:szCs w:val="24"/>
        </w:rPr>
        <w:t>elika</w:t>
      </w:r>
      <w:r w:rsidR="00EB5DA7" w:rsidRPr="00EB5DA7">
        <w:rPr>
          <w:rFonts w:ascii="Times New Roman" w:hAnsi="Times New Roman"/>
          <w:bCs/>
          <w:noProof/>
          <w:szCs w:val="24"/>
        </w:rPr>
        <w:t xml:space="preserve"> Pisanica za usluge izrade projektne dokumentacije za dogradnju dvorane uz PŠ Lasovac.</w:t>
      </w:r>
    </w:p>
    <w:p w14:paraId="3CD02CA5" w14:textId="72A2E626" w:rsidR="00ED390E" w:rsidRPr="00ED390E" w:rsidRDefault="00ED390E" w:rsidP="00EB5DA7">
      <w:pPr>
        <w:spacing w:line="360" w:lineRule="auto"/>
        <w:jc w:val="both"/>
        <w:rPr>
          <w:rFonts w:ascii="Times New Roman" w:hAnsi="Times New Roman"/>
          <w:bCs/>
          <w:noProof/>
          <w:szCs w:val="24"/>
        </w:rPr>
      </w:pPr>
      <w:r>
        <w:rPr>
          <w:rFonts w:ascii="Times New Roman" w:hAnsi="Times New Roman"/>
          <w:bCs/>
          <w:noProof/>
          <w:szCs w:val="24"/>
        </w:rPr>
        <w:lastRenderedPageBreak/>
        <w:tab/>
      </w:r>
      <w:r w:rsidRPr="00ED390E">
        <w:rPr>
          <w:rFonts w:ascii="Times New Roman" w:hAnsi="Times New Roman"/>
          <w:b/>
          <w:noProof/>
          <w:szCs w:val="24"/>
        </w:rPr>
        <w:t>Financijski rashodi</w:t>
      </w:r>
      <w:r>
        <w:rPr>
          <w:rFonts w:ascii="Times New Roman" w:hAnsi="Times New Roman"/>
          <w:b/>
          <w:noProof/>
          <w:szCs w:val="24"/>
        </w:rPr>
        <w:t xml:space="preserve"> </w:t>
      </w:r>
      <w:r>
        <w:rPr>
          <w:rFonts w:ascii="Times New Roman" w:hAnsi="Times New Roman"/>
          <w:bCs/>
          <w:noProof/>
          <w:szCs w:val="24"/>
        </w:rPr>
        <w:t>ostvareni su u iznosu od 131.515,38 eura što je 25,90 % manje u odnosu na promatrano razdoblje prethodne godine i 37,23 % ostvarenje u ovom obračunskom razdoblju u odnosu na plan.</w:t>
      </w:r>
      <w:r w:rsidR="00ED2BEC">
        <w:rPr>
          <w:rFonts w:ascii="Times New Roman" w:hAnsi="Times New Roman"/>
          <w:bCs/>
          <w:noProof/>
          <w:szCs w:val="24"/>
        </w:rPr>
        <w:t xml:space="preserve"> </w:t>
      </w:r>
      <w:r w:rsidR="00ED2BEC" w:rsidRPr="00ED2BEC">
        <w:rPr>
          <w:rFonts w:ascii="Times New Roman" w:hAnsi="Times New Roman"/>
          <w:bCs/>
          <w:noProof/>
          <w:szCs w:val="24"/>
        </w:rPr>
        <w:t>Bankarske usluge i usluge platnog prometa bilježe povećanje u odnosu na izvještajno razdoblje</w:t>
      </w:r>
      <w:r w:rsidR="00ED2BEC">
        <w:rPr>
          <w:rFonts w:ascii="Times New Roman" w:hAnsi="Times New Roman"/>
          <w:bCs/>
          <w:noProof/>
          <w:szCs w:val="24"/>
        </w:rPr>
        <w:t xml:space="preserve"> </w:t>
      </w:r>
      <w:r w:rsidR="00ED2BEC" w:rsidRPr="00ED2BEC">
        <w:rPr>
          <w:rFonts w:ascii="Times New Roman" w:hAnsi="Times New Roman"/>
          <w:bCs/>
          <w:noProof/>
          <w:szCs w:val="24"/>
        </w:rPr>
        <w:t>prethodne godine</w:t>
      </w:r>
      <w:r w:rsidR="00ED2BEC">
        <w:rPr>
          <w:rFonts w:ascii="Times New Roman" w:hAnsi="Times New Roman"/>
          <w:bCs/>
          <w:noProof/>
          <w:szCs w:val="24"/>
        </w:rPr>
        <w:t xml:space="preserve"> kod Bjelovarsko-bilogorske županije</w:t>
      </w:r>
      <w:r w:rsidR="00ED2BEC" w:rsidRPr="00ED2BEC">
        <w:rPr>
          <w:rFonts w:ascii="Times New Roman" w:hAnsi="Times New Roman"/>
          <w:bCs/>
          <w:noProof/>
          <w:szCs w:val="24"/>
        </w:rPr>
        <w:t xml:space="preserve"> budući da je </w:t>
      </w:r>
      <w:r w:rsidR="00ED2BEC">
        <w:rPr>
          <w:rFonts w:ascii="Times New Roman" w:hAnsi="Times New Roman"/>
          <w:bCs/>
          <w:noProof/>
          <w:szCs w:val="24"/>
        </w:rPr>
        <w:t>Ž</w:t>
      </w:r>
      <w:r w:rsidR="00ED2BEC" w:rsidRPr="00ED2BEC">
        <w:rPr>
          <w:rFonts w:ascii="Times New Roman" w:hAnsi="Times New Roman"/>
          <w:bCs/>
          <w:noProof/>
          <w:szCs w:val="24"/>
        </w:rPr>
        <w:t xml:space="preserve">upanija u 2025. godini </w:t>
      </w:r>
      <w:r w:rsidR="00ED2BEC">
        <w:rPr>
          <w:rFonts w:ascii="Times New Roman" w:hAnsi="Times New Roman"/>
          <w:bCs/>
          <w:noProof/>
          <w:szCs w:val="24"/>
        </w:rPr>
        <w:t>uspostavila</w:t>
      </w:r>
      <w:r w:rsidR="00ED2BEC" w:rsidRPr="00ED2BEC">
        <w:rPr>
          <w:rFonts w:ascii="Times New Roman" w:hAnsi="Times New Roman"/>
          <w:bCs/>
          <w:noProof/>
          <w:szCs w:val="24"/>
        </w:rPr>
        <w:t xml:space="preserve"> jedinstveni račun</w:t>
      </w:r>
      <w:r w:rsidR="00ED2BEC">
        <w:rPr>
          <w:rFonts w:ascii="Times New Roman" w:hAnsi="Times New Roman"/>
          <w:bCs/>
          <w:noProof/>
          <w:szCs w:val="24"/>
        </w:rPr>
        <w:t xml:space="preserve"> Proračuna za jedinice lokalne (područne) samouprave odnosno lokalnu riznicu koja obuhvaća</w:t>
      </w:r>
      <w:r w:rsidR="00ED2BEC" w:rsidRPr="00ED2BEC">
        <w:rPr>
          <w:rFonts w:ascii="Times New Roman" w:hAnsi="Times New Roman"/>
          <w:bCs/>
          <w:noProof/>
          <w:szCs w:val="24"/>
        </w:rPr>
        <w:t xml:space="preserve"> </w:t>
      </w:r>
      <w:r w:rsidR="002F7C07">
        <w:rPr>
          <w:rFonts w:ascii="Times New Roman" w:hAnsi="Times New Roman"/>
          <w:bCs/>
          <w:noProof/>
          <w:szCs w:val="24"/>
        </w:rPr>
        <w:t xml:space="preserve">većinu </w:t>
      </w:r>
      <w:r w:rsidR="00ED2BEC">
        <w:rPr>
          <w:rFonts w:ascii="Times New Roman" w:hAnsi="Times New Roman"/>
          <w:bCs/>
          <w:noProof/>
          <w:szCs w:val="24"/>
        </w:rPr>
        <w:t>županijs</w:t>
      </w:r>
      <w:r w:rsidR="002F7C07">
        <w:rPr>
          <w:rFonts w:ascii="Times New Roman" w:hAnsi="Times New Roman"/>
          <w:bCs/>
          <w:noProof/>
          <w:szCs w:val="24"/>
        </w:rPr>
        <w:t>kih</w:t>
      </w:r>
      <w:r w:rsidR="00ED2BEC">
        <w:rPr>
          <w:rFonts w:ascii="Times New Roman" w:hAnsi="Times New Roman"/>
          <w:bCs/>
          <w:noProof/>
          <w:szCs w:val="24"/>
        </w:rPr>
        <w:t xml:space="preserve"> </w:t>
      </w:r>
      <w:r w:rsidR="00ED2BEC" w:rsidRPr="00ED2BEC">
        <w:rPr>
          <w:rFonts w:ascii="Times New Roman" w:hAnsi="Times New Roman"/>
          <w:bCs/>
          <w:noProof/>
          <w:szCs w:val="24"/>
        </w:rPr>
        <w:t>proračunsk</w:t>
      </w:r>
      <w:r w:rsidR="002F7C07">
        <w:rPr>
          <w:rFonts w:ascii="Times New Roman" w:hAnsi="Times New Roman"/>
          <w:bCs/>
          <w:noProof/>
          <w:szCs w:val="24"/>
        </w:rPr>
        <w:t>ih</w:t>
      </w:r>
      <w:r w:rsidR="00ED2BEC" w:rsidRPr="00ED2BEC">
        <w:rPr>
          <w:rFonts w:ascii="Times New Roman" w:hAnsi="Times New Roman"/>
          <w:bCs/>
          <w:noProof/>
          <w:szCs w:val="24"/>
        </w:rPr>
        <w:t xml:space="preserve"> korisnik</w:t>
      </w:r>
      <w:r w:rsidR="002F7C07">
        <w:rPr>
          <w:rFonts w:ascii="Times New Roman" w:hAnsi="Times New Roman"/>
          <w:bCs/>
          <w:noProof/>
          <w:szCs w:val="24"/>
        </w:rPr>
        <w:t>a</w:t>
      </w:r>
      <w:r w:rsidR="00ED2BEC" w:rsidRPr="00ED2BEC">
        <w:rPr>
          <w:rFonts w:ascii="Times New Roman" w:hAnsi="Times New Roman"/>
          <w:bCs/>
          <w:noProof/>
          <w:szCs w:val="24"/>
        </w:rPr>
        <w:t xml:space="preserve"> te se je i samim time mjesečna naknada za platni promet povećala.</w:t>
      </w:r>
    </w:p>
    <w:p w14:paraId="02B0C9C4" w14:textId="6F2CEA1C" w:rsidR="00D355BF" w:rsidRPr="009002B7" w:rsidRDefault="00D355BF" w:rsidP="00C52752">
      <w:pPr>
        <w:spacing w:line="360" w:lineRule="auto"/>
        <w:ind w:firstLine="708"/>
        <w:jc w:val="both"/>
        <w:rPr>
          <w:rFonts w:ascii="Times New Roman" w:hAnsi="Times New Roman"/>
          <w:bCs/>
          <w:noProof/>
          <w:szCs w:val="24"/>
        </w:rPr>
      </w:pPr>
      <w:r w:rsidRPr="009002B7">
        <w:rPr>
          <w:rFonts w:ascii="Times New Roman" w:hAnsi="Times New Roman"/>
          <w:b/>
          <w:noProof/>
          <w:szCs w:val="24"/>
        </w:rPr>
        <w:t xml:space="preserve"> Subvencije</w:t>
      </w:r>
      <w:r w:rsidR="00C52752">
        <w:rPr>
          <w:rFonts w:ascii="Times New Roman" w:hAnsi="Times New Roman"/>
          <w:bCs/>
          <w:noProof/>
          <w:szCs w:val="24"/>
        </w:rPr>
        <w:t xml:space="preserve"> su ostvarene u iznosu od 389.750,36 eura što je 13,39 % više u odnosu na promatrano razdoblje prethodne godine i 42,67 % ostvarenje u ovom obračunskom razdoblju u odnosu na plan. Subvencije </w:t>
      </w:r>
      <w:r w:rsidRPr="001D5218">
        <w:rPr>
          <w:rFonts w:ascii="Times New Roman" w:hAnsi="Times New Roman"/>
          <w:bCs/>
          <w:noProof/>
          <w:szCs w:val="24"/>
        </w:rPr>
        <w:t>bilježe povećanje</w:t>
      </w:r>
      <w:r w:rsidRPr="009002B7">
        <w:rPr>
          <w:rFonts w:ascii="Times New Roman" w:hAnsi="Times New Roman"/>
          <w:bCs/>
          <w:noProof/>
          <w:szCs w:val="24"/>
        </w:rPr>
        <w:t xml:space="preserve"> u odnosu na izvještajno razdoblje prethodne godine koje su iskazane kod </w:t>
      </w:r>
      <w:r w:rsidR="00C52752">
        <w:rPr>
          <w:rFonts w:ascii="Times New Roman" w:hAnsi="Times New Roman"/>
          <w:bCs/>
          <w:noProof/>
          <w:szCs w:val="24"/>
        </w:rPr>
        <w:t>Bjelovarsko-bilogorske županije</w:t>
      </w:r>
      <w:r w:rsidRPr="009002B7">
        <w:rPr>
          <w:rFonts w:ascii="Times New Roman" w:hAnsi="Times New Roman"/>
          <w:bCs/>
          <w:noProof/>
          <w:szCs w:val="24"/>
        </w:rPr>
        <w:t>, a odnose se na nove programe i subvencije za sufinanciranje</w:t>
      </w:r>
      <w:r w:rsidR="00C52752">
        <w:rPr>
          <w:rFonts w:ascii="Times New Roman" w:hAnsi="Times New Roman"/>
          <w:bCs/>
          <w:noProof/>
          <w:szCs w:val="24"/>
        </w:rPr>
        <w:t xml:space="preserve"> </w:t>
      </w:r>
      <w:r w:rsidRPr="009002B7">
        <w:rPr>
          <w:rFonts w:ascii="Times New Roman" w:hAnsi="Times New Roman"/>
          <w:bCs/>
          <w:noProof/>
          <w:szCs w:val="24"/>
        </w:rPr>
        <w:t>i potporu stočarskoj proizvodnji, ekološkoj proizvodnji, biljnoj i voćarskoj proizvodnji, potpor</w:t>
      </w:r>
      <w:r w:rsidR="00C52752">
        <w:rPr>
          <w:rFonts w:ascii="Times New Roman" w:hAnsi="Times New Roman"/>
          <w:bCs/>
          <w:noProof/>
          <w:szCs w:val="24"/>
        </w:rPr>
        <w:t>u</w:t>
      </w:r>
      <w:r w:rsidRPr="009002B7">
        <w:rPr>
          <w:rFonts w:ascii="Times New Roman" w:hAnsi="Times New Roman"/>
          <w:bCs/>
          <w:noProof/>
          <w:szCs w:val="24"/>
        </w:rPr>
        <w:t xml:space="preserve"> za pčelarstvo, razvoj i unapređenje lovstva na području </w:t>
      </w:r>
      <w:r w:rsidR="00C52752">
        <w:rPr>
          <w:rFonts w:ascii="Times New Roman" w:hAnsi="Times New Roman"/>
          <w:bCs/>
          <w:noProof/>
          <w:szCs w:val="24"/>
        </w:rPr>
        <w:t>Bjelovarsko-bilogorske županije</w:t>
      </w:r>
      <w:r w:rsidRPr="009002B7">
        <w:rPr>
          <w:rFonts w:ascii="Times New Roman" w:hAnsi="Times New Roman"/>
          <w:bCs/>
          <w:noProof/>
          <w:szCs w:val="24"/>
        </w:rPr>
        <w:t>, subvencioniranje nabavke novih i rabljenih strojeva i opreme te potpor</w:t>
      </w:r>
      <w:r w:rsidR="00C52752">
        <w:rPr>
          <w:rFonts w:ascii="Times New Roman" w:hAnsi="Times New Roman"/>
          <w:bCs/>
          <w:noProof/>
          <w:szCs w:val="24"/>
        </w:rPr>
        <w:t>u</w:t>
      </w:r>
      <w:r w:rsidRPr="009002B7">
        <w:rPr>
          <w:rFonts w:ascii="Times New Roman" w:hAnsi="Times New Roman"/>
          <w:bCs/>
          <w:noProof/>
          <w:szCs w:val="24"/>
        </w:rPr>
        <w:t xml:space="preserve"> za novootvorene obrte.</w:t>
      </w:r>
    </w:p>
    <w:p w14:paraId="73F485A9" w14:textId="2E334B2B" w:rsidR="00AB6130" w:rsidRDefault="00D355BF" w:rsidP="00D355BF">
      <w:pPr>
        <w:tabs>
          <w:tab w:val="left" w:pos="709"/>
        </w:tabs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F508CB">
        <w:rPr>
          <w:rFonts w:ascii="Times New Roman" w:hAnsi="Times New Roman"/>
          <w:b/>
          <w:szCs w:val="24"/>
        </w:rPr>
        <w:t>Pomoći dane u inozemstvo i unutar općeg proračuna</w:t>
      </w:r>
      <w:r w:rsidR="00AB6130">
        <w:rPr>
          <w:rFonts w:ascii="Times New Roman" w:hAnsi="Times New Roman"/>
          <w:b/>
          <w:szCs w:val="24"/>
        </w:rPr>
        <w:t xml:space="preserve"> </w:t>
      </w:r>
      <w:r w:rsidR="00AB6130" w:rsidRPr="00AB6130">
        <w:rPr>
          <w:rFonts w:ascii="Times New Roman" w:hAnsi="Times New Roman"/>
          <w:bCs/>
          <w:szCs w:val="24"/>
        </w:rPr>
        <w:t xml:space="preserve">ostvarene su u iznosu od </w:t>
      </w:r>
      <w:r w:rsidR="00AB6130">
        <w:rPr>
          <w:rFonts w:ascii="Times New Roman" w:hAnsi="Times New Roman"/>
          <w:bCs/>
          <w:szCs w:val="24"/>
        </w:rPr>
        <w:t>56.836,48 eura što je 65,99 %</w:t>
      </w:r>
      <w:r w:rsidRPr="00AB6130">
        <w:rPr>
          <w:rFonts w:ascii="Times New Roman" w:hAnsi="Times New Roman"/>
          <w:bCs/>
          <w:szCs w:val="24"/>
        </w:rPr>
        <w:t xml:space="preserve"> </w:t>
      </w:r>
      <w:r w:rsidRPr="009A6A83">
        <w:rPr>
          <w:rFonts w:ascii="Times New Roman" w:hAnsi="Times New Roman"/>
          <w:bCs/>
          <w:szCs w:val="24"/>
        </w:rPr>
        <w:t>v</w:t>
      </w:r>
      <w:r w:rsidR="00AB6130">
        <w:rPr>
          <w:rFonts w:ascii="Times New Roman" w:hAnsi="Times New Roman"/>
          <w:bCs/>
          <w:szCs w:val="24"/>
        </w:rPr>
        <w:t>iše</w:t>
      </w:r>
      <w:r w:rsidRPr="009A6A83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u odnosu na </w:t>
      </w:r>
      <w:r w:rsidR="00AB6130">
        <w:rPr>
          <w:rFonts w:ascii="Times New Roman" w:hAnsi="Times New Roman"/>
          <w:szCs w:val="24"/>
        </w:rPr>
        <w:t>promatrano razdoblje prethodne godine i 24,66 %</w:t>
      </w:r>
      <w:r w:rsidR="00AB6130" w:rsidRPr="00AB6130">
        <w:rPr>
          <w:rFonts w:ascii="Times New Roman" w:hAnsi="Times New Roman"/>
          <w:bCs/>
          <w:noProof/>
          <w:szCs w:val="24"/>
        </w:rPr>
        <w:t xml:space="preserve"> </w:t>
      </w:r>
      <w:r w:rsidR="00AB6130">
        <w:rPr>
          <w:rFonts w:ascii="Times New Roman" w:hAnsi="Times New Roman"/>
          <w:bCs/>
          <w:noProof/>
          <w:szCs w:val="24"/>
        </w:rPr>
        <w:t xml:space="preserve">ostvarenje u ovom obračunskom razdoblju u odnosu na plan. </w:t>
      </w:r>
      <w:r w:rsidR="00AB6130" w:rsidRPr="00AB6130">
        <w:rPr>
          <w:rFonts w:ascii="Times New Roman" w:hAnsi="Times New Roman"/>
          <w:szCs w:val="24"/>
        </w:rPr>
        <w:t>Tekuće pomoći drugom proračunu i izvanproračunskim korisnicima bilježe ostvarenje u izvještajnom razdoblju tekuće godine</w:t>
      </w:r>
      <w:r w:rsidR="00EC05A8">
        <w:rPr>
          <w:rFonts w:ascii="Times New Roman" w:hAnsi="Times New Roman"/>
          <w:szCs w:val="24"/>
        </w:rPr>
        <w:t xml:space="preserve"> </w:t>
      </w:r>
      <w:r w:rsidR="00EC05A8" w:rsidRPr="009002B7">
        <w:rPr>
          <w:rFonts w:ascii="Times New Roman" w:hAnsi="Times New Roman"/>
          <w:bCs/>
          <w:noProof/>
          <w:szCs w:val="24"/>
        </w:rPr>
        <w:t xml:space="preserve">kod </w:t>
      </w:r>
      <w:r w:rsidR="00EC05A8">
        <w:rPr>
          <w:rFonts w:ascii="Times New Roman" w:hAnsi="Times New Roman"/>
          <w:bCs/>
          <w:noProof/>
          <w:szCs w:val="24"/>
        </w:rPr>
        <w:t>Bjelovarsko-bilogorske županije</w:t>
      </w:r>
      <w:r w:rsidR="00AB6130" w:rsidRPr="00AB6130">
        <w:rPr>
          <w:rFonts w:ascii="Times New Roman" w:hAnsi="Times New Roman"/>
          <w:szCs w:val="24"/>
        </w:rPr>
        <w:t xml:space="preserve">, a odnose se na sufinanciranje </w:t>
      </w:r>
      <w:r w:rsidR="00EC05A8">
        <w:rPr>
          <w:rFonts w:ascii="Times New Roman" w:hAnsi="Times New Roman"/>
          <w:szCs w:val="24"/>
        </w:rPr>
        <w:t>troškova obnove vanjske</w:t>
      </w:r>
      <w:r w:rsidR="00AB6130" w:rsidRPr="00AB6130">
        <w:rPr>
          <w:rFonts w:ascii="Times New Roman" w:hAnsi="Times New Roman"/>
          <w:szCs w:val="24"/>
        </w:rPr>
        <w:t xml:space="preserve"> ovojnice</w:t>
      </w:r>
      <w:r w:rsidR="00EC05A8">
        <w:rPr>
          <w:rFonts w:ascii="Times New Roman" w:hAnsi="Times New Roman"/>
          <w:szCs w:val="24"/>
        </w:rPr>
        <w:t xml:space="preserve"> dijela poslovne</w:t>
      </w:r>
      <w:r w:rsidR="00AB6130" w:rsidRPr="00AB6130">
        <w:rPr>
          <w:rFonts w:ascii="Times New Roman" w:hAnsi="Times New Roman"/>
          <w:szCs w:val="24"/>
        </w:rPr>
        <w:t xml:space="preserve"> zgrade </w:t>
      </w:r>
      <w:r w:rsidR="00EC05A8">
        <w:rPr>
          <w:rFonts w:ascii="Times New Roman" w:hAnsi="Times New Roman"/>
          <w:szCs w:val="24"/>
        </w:rPr>
        <w:t>Hrvatskog zavoda za mirovinsko osiguranje, Područni ured u Bjelovaru.</w:t>
      </w:r>
      <w:r w:rsidR="002A75EB">
        <w:rPr>
          <w:rFonts w:ascii="Times New Roman" w:hAnsi="Times New Roman"/>
          <w:szCs w:val="24"/>
        </w:rPr>
        <w:t xml:space="preserve"> </w:t>
      </w:r>
      <w:r w:rsidR="002A75EB" w:rsidRPr="002A75EB">
        <w:rPr>
          <w:rFonts w:ascii="Times New Roman" w:hAnsi="Times New Roman"/>
          <w:szCs w:val="24"/>
        </w:rPr>
        <w:t>Tekuće pomoći proračunskim korisnicima drugih proračuna</w:t>
      </w:r>
      <w:r w:rsidR="002A75EB">
        <w:rPr>
          <w:rFonts w:ascii="Times New Roman" w:hAnsi="Times New Roman"/>
          <w:szCs w:val="24"/>
        </w:rPr>
        <w:t xml:space="preserve"> bilježe</w:t>
      </w:r>
      <w:r w:rsidR="002A75EB" w:rsidRPr="002A75EB">
        <w:rPr>
          <w:rFonts w:ascii="Times New Roman" w:hAnsi="Times New Roman"/>
          <w:szCs w:val="24"/>
        </w:rPr>
        <w:t xml:space="preserve"> povećanje u izvještajnom razdoblju tekuće godine</w:t>
      </w:r>
      <w:r w:rsidR="002A75EB">
        <w:rPr>
          <w:rFonts w:ascii="Times New Roman" w:hAnsi="Times New Roman"/>
          <w:szCs w:val="24"/>
        </w:rPr>
        <w:t xml:space="preserve"> </w:t>
      </w:r>
      <w:r w:rsidR="002A75EB" w:rsidRPr="002A75EB">
        <w:rPr>
          <w:rFonts w:ascii="Times New Roman" w:hAnsi="Times New Roman"/>
          <w:szCs w:val="24"/>
        </w:rPr>
        <w:t>u odnosu na promatrano razdoblje prethodne godine</w:t>
      </w:r>
      <w:r w:rsidR="00004288">
        <w:rPr>
          <w:rFonts w:ascii="Times New Roman" w:hAnsi="Times New Roman"/>
          <w:szCs w:val="24"/>
        </w:rPr>
        <w:t xml:space="preserve"> </w:t>
      </w:r>
      <w:r w:rsidR="00004288" w:rsidRPr="009002B7">
        <w:rPr>
          <w:rFonts w:ascii="Times New Roman" w:hAnsi="Times New Roman"/>
          <w:bCs/>
          <w:noProof/>
          <w:szCs w:val="24"/>
        </w:rPr>
        <w:t xml:space="preserve">kod </w:t>
      </w:r>
      <w:r w:rsidR="00004288">
        <w:rPr>
          <w:rFonts w:ascii="Times New Roman" w:hAnsi="Times New Roman"/>
          <w:bCs/>
          <w:noProof/>
          <w:szCs w:val="24"/>
        </w:rPr>
        <w:t>Bjelovarsko-bilogorske županije</w:t>
      </w:r>
      <w:r w:rsidR="002A75EB">
        <w:rPr>
          <w:rFonts w:ascii="Times New Roman" w:hAnsi="Times New Roman"/>
          <w:szCs w:val="24"/>
        </w:rPr>
        <w:t>, a</w:t>
      </w:r>
      <w:r w:rsidR="002A75EB" w:rsidRPr="002A75EB">
        <w:rPr>
          <w:rFonts w:ascii="Times New Roman" w:hAnsi="Times New Roman"/>
          <w:szCs w:val="24"/>
        </w:rPr>
        <w:t xml:space="preserve"> odnos</w:t>
      </w:r>
      <w:r w:rsidR="002A75EB">
        <w:rPr>
          <w:rFonts w:ascii="Times New Roman" w:hAnsi="Times New Roman"/>
          <w:szCs w:val="24"/>
        </w:rPr>
        <w:t>e</w:t>
      </w:r>
      <w:r w:rsidR="002A75EB" w:rsidRPr="002A75EB">
        <w:rPr>
          <w:rFonts w:ascii="Times New Roman" w:hAnsi="Times New Roman"/>
          <w:szCs w:val="24"/>
        </w:rPr>
        <w:t xml:space="preserve"> se na financiranje provođenja operativnog rada obrane od tuče, refundaciju troškova za smotru zborova OŠ Čazma </w:t>
      </w:r>
      <w:r w:rsidR="006C24E5" w:rsidRPr="006C24E5">
        <w:rPr>
          <w:rFonts w:ascii="Times New Roman" w:hAnsi="Times New Roman"/>
          <w:szCs w:val="24"/>
        </w:rPr>
        <w:t xml:space="preserve">kao dodatni troškovi u odnosu na promatrano razdoblje prethodne godine te kapitalnu donaciju Općoj bolnici </w:t>
      </w:r>
      <w:r w:rsidR="00A93119" w:rsidRPr="00A93119">
        <w:rPr>
          <w:rFonts w:ascii="Times New Roman" w:hAnsi="Times New Roman"/>
          <w:szCs w:val="24"/>
        </w:rPr>
        <w:t xml:space="preserve">"Dr. Anđelko </w:t>
      </w:r>
      <w:proofErr w:type="spellStart"/>
      <w:r w:rsidR="00A93119" w:rsidRPr="00A93119">
        <w:rPr>
          <w:rFonts w:ascii="Times New Roman" w:hAnsi="Times New Roman"/>
          <w:szCs w:val="24"/>
        </w:rPr>
        <w:t>Višić</w:t>
      </w:r>
      <w:proofErr w:type="spellEnd"/>
      <w:r w:rsidR="00A93119" w:rsidRPr="00A93119">
        <w:rPr>
          <w:rFonts w:ascii="Times New Roman" w:hAnsi="Times New Roman"/>
          <w:szCs w:val="24"/>
        </w:rPr>
        <w:t>"</w:t>
      </w:r>
      <w:r w:rsidR="00A93119">
        <w:rPr>
          <w:rFonts w:ascii="Times New Roman" w:hAnsi="Times New Roman"/>
          <w:szCs w:val="24"/>
        </w:rPr>
        <w:t xml:space="preserve"> </w:t>
      </w:r>
      <w:r w:rsidR="006C24E5" w:rsidRPr="006C24E5">
        <w:rPr>
          <w:rFonts w:ascii="Times New Roman" w:hAnsi="Times New Roman"/>
          <w:szCs w:val="24"/>
        </w:rPr>
        <w:t>Bjelovar za Odjel palijativne skrbi</w:t>
      </w:r>
      <w:r w:rsidR="002A75EB" w:rsidRPr="002A75EB">
        <w:rPr>
          <w:rFonts w:ascii="Times New Roman" w:hAnsi="Times New Roman"/>
          <w:szCs w:val="24"/>
        </w:rPr>
        <w:t>.</w:t>
      </w:r>
      <w:r w:rsidR="002A75EB">
        <w:rPr>
          <w:rFonts w:ascii="Times New Roman" w:hAnsi="Times New Roman"/>
          <w:szCs w:val="24"/>
        </w:rPr>
        <w:t xml:space="preserve"> </w:t>
      </w:r>
      <w:r w:rsidR="00004288">
        <w:rPr>
          <w:rFonts w:ascii="Times New Roman" w:hAnsi="Times New Roman"/>
          <w:szCs w:val="24"/>
        </w:rPr>
        <w:t xml:space="preserve"> </w:t>
      </w:r>
    </w:p>
    <w:p w14:paraId="0A5B3094" w14:textId="47B27541" w:rsidR="00B954B3" w:rsidRPr="00FE0926" w:rsidRDefault="00D355BF" w:rsidP="00FE0926">
      <w:pPr>
        <w:tabs>
          <w:tab w:val="left" w:pos="851"/>
        </w:tabs>
        <w:spacing w:line="360" w:lineRule="auto"/>
        <w:ind w:firstLine="708"/>
        <w:jc w:val="both"/>
        <w:rPr>
          <w:rFonts w:ascii="Times New Roman" w:hAnsi="Times New Roman"/>
          <w:bCs/>
          <w:noProof/>
          <w:szCs w:val="24"/>
        </w:rPr>
      </w:pPr>
      <w:r w:rsidRPr="006F45BE">
        <w:rPr>
          <w:rFonts w:ascii="Times New Roman" w:hAnsi="Times New Roman"/>
          <w:b/>
          <w:noProof/>
          <w:szCs w:val="24"/>
        </w:rPr>
        <w:t>Naknadne građanima i kućanstvima</w:t>
      </w:r>
      <w:r w:rsidR="00BD7B96">
        <w:rPr>
          <w:rFonts w:ascii="Times New Roman" w:hAnsi="Times New Roman"/>
          <w:b/>
          <w:noProof/>
          <w:szCs w:val="24"/>
        </w:rPr>
        <w:t xml:space="preserve"> na temelju osiguranja i druge naknade</w:t>
      </w:r>
      <w:r w:rsidR="00BD7B96">
        <w:rPr>
          <w:rFonts w:ascii="Times New Roman" w:hAnsi="Times New Roman"/>
          <w:bCs/>
          <w:noProof/>
          <w:szCs w:val="24"/>
        </w:rPr>
        <w:t xml:space="preserve"> ostvarene su u iznosu od 3.138.819,94 eura što je </w:t>
      </w:r>
      <w:r w:rsidR="00B954B3">
        <w:rPr>
          <w:rFonts w:ascii="Times New Roman" w:hAnsi="Times New Roman"/>
          <w:bCs/>
          <w:noProof/>
          <w:szCs w:val="24"/>
        </w:rPr>
        <w:t xml:space="preserve">38,65 % više u odnosu na promatrano razdoblje prethodne godine i 60,65 % ostvarenje u ovom obračunskom razdoblju u odnosu na </w:t>
      </w:r>
      <w:r w:rsidR="00B954B3" w:rsidRPr="00B954B3">
        <w:rPr>
          <w:rFonts w:ascii="Times New Roman" w:hAnsi="Times New Roman"/>
          <w:bCs/>
          <w:noProof/>
          <w:szCs w:val="24"/>
        </w:rPr>
        <w:t>plan, a</w:t>
      </w:r>
      <w:r w:rsidR="00B954B3">
        <w:rPr>
          <w:rFonts w:ascii="Times New Roman" w:hAnsi="Times New Roman"/>
          <w:bCs/>
          <w:noProof/>
          <w:szCs w:val="24"/>
        </w:rPr>
        <w:t xml:space="preserve"> </w:t>
      </w:r>
      <w:r w:rsidRPr="00B954B3">
        <w:rPr>
          <w:rFonts w:ascii="Times New Roman" w:hAnsi="Times New Roman"/>
          <w:bCs/>
          <w:noProof/>
          <w:szCs w:val="24"/>
        </w:rPr>
        <w:t>odnose</w:t>
      </w:r>
      <w:r w:rsidRPr="006F45BE">
        <w:rPr>
          <w:rFonts w:ascii="Times New Roman" w:hAnsi="Times New Roman"/>
          <w:bCs/>
          <w:noProof/>
          <w:szCs w:val="24"/>
        </w:rPr>
        <w:t xml:space="preserve"> se na naknade građanima i kućanstvima isplaćene u novcu koje se u najvećem dijelu odnose na stipendije i školarine, na podmirenje pogrebnih troškova preminulih hrvatskih branitelja, subvencije </w:t>
      </w:r>
      <w:r w:rsidR="00B571F3">
        <w:rPr>
          <w:rFonts w:ascii="Times New Roman" w:hAnsi="Times New Roman"/>
          <w:bCs/>
          <w:noProof/>
          <w:szCs w:val="24"/>
        </w:rPr>
        <w:t>kamata na</w:t>
      </w:r>
      <w:r w:rsidRPr="006F45BE">
        <w:rPr>
          <w:rFonts w:ascii="Times New Roman" w:hAnsi="Times New Roman"/>
          <w:bCs/>
          <w:noProof/>
          <w:szCs w:val="24"/>
        </w:rPr>
        <w:t xml:space="preserve"> stambene kredit</w:t>
      </w:r>
      <w:r w:rsidR="00B571F3">
        <w:rPr>
          <w:rFonts w:ascii="Times New Roman" w:hAnsi="Times New Roman"/>
          <w:bCs/>
          <w:noProof/>
          <w:szCs w:val="24"/>
        </w:rPr>
        <w:t>e</w:t>
      </w:r>
      <w:r w:rsidRPr="006F45BE">
        <w:rPr>
          <w:rFonts w:ascii="Times New Roman" w:hAnsi="Times New Roman"/>
          <w:bCs/>
          <w:noProof/>
          <w:szCs w:val="24"/>
        </w:rPr>
        <w:t xml:space="preserve"> liječnika i medicinskog osoblja</w:t>
      </w:r>
      <w:r w:rsidR="00B954B3">
        <w:rPr>
          <w:rFonts w:ascii="Times New Roman" w:hAnsi="Times New Roman"/>
          <w:bCs/>
          <w:noProof/>
          <w:szCs w:val="24"/>
        </w:rPr>
        <w:t xml:space="preserve"> te mladih osoba i mladih obitelji</w:t>
      </w:r>
      <w:r w:rsidRPr="006F45BE">
        <w:rPr>
          <w:rFonts w:ascii="Times New Roman" w:hAnsi="Times New Roman"/>
          <w:bCs/>
          <w:noProof/>
          <w:szCs w:val="24"/>
        </w:rPr>
        <w:t xml:space="preserve">, naknade za novorođeno </w:t>
      </w:r>
      <w:r w:rsidRPr="006F45BE">
        <w:rPr>
          <w:rFonts w:ascii="Times New Roman" w:hAnsi="Times New Roman"/>
          <w:bCs/>
          <w:noProof/>
          <w:szCs w:val="24"/>
        </w:rPr>
        <w:lastRenderedPageBreak/>
        <w:t>dijete</w:t>
      </w:r>
      <w:r w:rsidR="00FE0926">
        <w:rPr>
          <w:rFonts w:ascii="Times New Roman" w:hAnsi="Times New Roman"/>
          <w:bCs/>
          <w:noProof/>
          <w:szCs w:val="24"/>
        </w:rPr>
        <w:t xml:space="preserve">, </w:t>
      </w:r>
      <w:r w:rsidR="00FE0926" w:rsidRPr="00FE0926">
        <w:rPr>
          <w:rFonts w:ascii="Times New Roman" w:hAnsi="Times New Roman"/>
          <w:bCs/>
          <w:noProof/>
          <w:szCs w:val="24"/>
        </w:rPr>
        <w:t>isplaćene uskrsnice umirovljenicima s prebivalištem</w:t>
      </w:r>
      <w:r w:rsidR="00FE0926">
        <w:rPr>
          <w:rFonts w:ascii="Times New Roman" w:hAnsi="Times New Roman"/>
          <w:bCs/>
          <w:noProof/>
          <w:szCs w:val="24"/>
        </w:rPr>
        <w:t xml:space="preserve"> </w:t>
      </w:r>
      <w:r w:rsidR="00FE0926" w:rsidRPr="00FE0926">
        <w:rPr>
          <w:rFonts w:ascii="Times New Roman" w:hAnsi="Times New Roman"/>
          <w:bCs/>
          <w:noProof/>
          <w:szCs w:val="24"/>
        </w:rPr>
        <w:t xml:space="preserve">na području </w:t>
      </w:r>
      <w:bookmarkStart w:id="1" w:name="_Hlk207111827"/>
      <w:r w:rsidR="00FE0926" w:rsidRPr="00FE0926">
        <w:rPr>
          <w:rFonts w:ascii="Times New Roman" w:hAnsi="Times New Roman"/>
          <w:bCs/>
          <w:noProof/>
          <w:szCs w:val="24"/>
        </w:rPr>
        <w:t>Bjelovarsko-bilogorske županije</w:t>
      </w:r>
      <w:bookmarkEnd w:id="1"/>
      <w:r w:rsidR="00FE0926" w:rsidRPr="00FE0926">
        <w:rPr>
          <w:rFonts w:ascii="Times New Roman" w:hAnsi="Times New Roman"/>
          <w:bCs/>
          <w:noProof/>
          <w:szCs w:val="24"/>
        </w:rPr>
        <w:t xml:space="preserve"> i financiranje troškova prijevoza u vezi s korištenjem prava na zdravstvenu zaštitu umirovljenicima i osobama starijima od 65 godina.</w:t>
      </w:r>
      <w:r w:rsidR="00FE0926">
        <w:rPr>
          <w:rFonts w:ascii="Times New Roman" w:hAnsi="Times New Roman"/>
          <w:bCs/>
          <w:noProof/>
          <w:szCs w:val="24"/>
        </w:rPr>
        <w:t xml:space="preserve"> </w:t>
      </w:r>
      <w:r w:rsidRPr="006F45BE">
        <w:rPr>
          <w:rFonts w:ascii="Times New Roman" w:hAnsi="Times New Roman"/>
          <w:bCs/>
          <w:noProof/>
          <w:szCs w:val="24"/>
        </w:rPr>
        <w:t>Naknade građanima i kućanstvima u naravi u najvećem dijelu odnosi se na sufinanciranje prijevoza učenika osnovnih i srednjih škola, potporu željezničkog i linijskog autobusnog prijevoza</w:t>
      </w:r>
      <w:r w:rsidR="00B12FE9">
        <w:rPr>
          <w:rFonts w:ascii="Times New Roman" w:hAnsi="Times New Roman"/>
          <w:bCs/>
          <w:noProof/>
          <w:szCs w:val="24"/>
        </w:rPr>
        <w:t xml:space="preserve"> te financiranje troškova autobusnog prijevoza umirovljenika</w:t>
      </w:r>
      <w:r w:rsidRPr="006F45BE">
        <w:rPr>
          <w:rFonts w:ascii="Times New Roman" w:hAnsi="Times New Roman"/>
          <w:bCs/>
          <w:noProof/>
          <w:szCs w:val="24"/>
        </w:rPr>
        <w:t xml:space="preserve">. </w:t>
      </w:r>
    </w:p>
    <w:p w14:paraId="7AF98428" w14:textId="4B669D24" w:rsidR="00D355BF" w:rsidRPr="007C61A7" w:rsidRDefault="00D355BF" w:rsidP="00D355BF">
      <w:pPr>
        <w:spacing w:line="360" w:lineRule="auto"/>
        <w:ind w:firstLine="708"/>
        <w:jc w:val="both"/>
        <w:rPr>
          <w:rFonts w:ascii="Times New Roman" w:hAnsi="Times New Roman"/>
          <w:szCs w:val="24"/>
          <w:highlight w:val="lightGray"/>
        </w:rPr>
      </w:pPr>
      <w:r w:rsidRPr="00E7371E">
        <w:rPr>
          <w:rFonts w:ascii="Times New Roman" w:hAnsi="Times New Roman"/>
          <w:b/>
          <w:szCs w:val="24"/>
        </w:rPr>
        <w:t>Ostali rashodi</w:t>
      </w:r>
      <w:r w:rsidR="00A81128">
        <w:rPr>
          <w:rFonts w:ascii="Times New Roman" w:hAnsi="Times New Roman"/>
          <w:bCs/>
          <w:szCs w:val="24"/>
        </w:rPr>
        <w:t xml:space="preserve"> ostvareni su u iznosu od 804.495,58 eura što je 36,59 % manje u odnosu na promatrano razdoblje prethodne godine i 53,14 % ostvarenje </w:t>
      </w:r>
      <w:r w:rsidR="00A81128">
        <w:rPr>
          <w:rFonts w:ascii="Times New Roman" w:hAnsi="Times New Roman"/>
          <w:bCs/>
          <w:noProof/>
          <w:szCs w:val="24"/>
        </w:rPr>
        <w:t xml:space="preserve">u ovom obračunskom razdoblju u odnosu na </w:t>
      </w:r>
      <w:r w:rsidR="00A81128" w:rsidRPr="00B954B3">
        <w:rPr>
          <w:rFonts w:ascii="Times New Roman" w:hAnsi="Times New Roman"/>
          <w:bCs/>
          <w:noProof/>
          <w:szCs w:val="24"/>
        </w:rPr>
        <w:t>plan</w:t>
      </w:r>
      <w:r w:rsidR="00A81128">
        <w:rPr>
          <w:rFonts w:ascii="Times New Roman" w:hAnsi="Times New Roman"/>
          <w:bCs/>
          <w:noProof/>
          <w:szCs w:val="24"/>
        </w:rPr>
        <w:t>, a</w:t>
      </w:r>
      <w:r w:rsidR="00A81128">
        <w:rPr>
          <w:rFonts w:ascii="Times New Roman" w:hAnsi="Times New Roman"/>
          <w:bCs/>
          <w:szCs w:val="24"/>
        </w:rPr>
        <w:t xml:space="preserve"> </w:t>
      </w:r>
      <w:r w:rsidRPr="00E7371E">
        <w:rPr>
          <w:rFonts w:ascii="Times New Roman" w:hAnsi="Times New Roman"/>
          <w:szCs w:val="24"/>
        </w:rPr>
        <w:t>obuhvaćaju tekuće donacije koje u najvećem dijelu osigurava i isplaćuje Županija iz izvornog dijela proračuna nacionalnim zajednicama i manjinama,</w:t>
      </w:r>
      <w:r w:rsidR="008F4E68">
        <w:rPr>
          <w:rFonts w:ascii="Times New Roman" w:hAnsi="Times New Roman"/>
          <w:szCs w:val="24"/>
        </w:rPr>
        <w:t xml:space="preserve"> vjerskim zajednicama, </w:t>
      </w:r>
      <w:r w:rsidRPr="00E7371E">
        <w:rPr>
          <w:rFonts w:ascii="Times New Roman" w:hAnsi="Times New Roman"/>
          <w:szCs w:val="24"/>
        </w:rPr>
        <w:t xml:space="preserve"> udrugama, političkim strankama, civilnim društvima</w:t>
      </w:r>
      <w:r w:rsidR="007B054F">
        <w:rPr>
          <w:rFonts w:ascii="Times New Roman" w:hAnsi="Times New Roman"/>
          <w:szCs w:val="24"/>
        </w:rPr>
        <w:t xml:space="preserve">, </w:t>
      </w:r>
      <w:r w:rsidR="007B054F" w:rsidRPr="00E7371E">
        <w:rPr>
          <w:rFonts w:ascii="Times New Roman" w:hAnsi="Times New Roman"/>
          <w:szCs w:val="24"/>
        </w:rPr>
        <w:t>sportskim društvima</w:t>
      </w:r>
      <w:r w:rsidR="007B054F">
        <w:rPr>
          <w:rFonts w:ascii="Times New Roman" w:hAnsi="Times New Roman"/>
          <w:szCs w:val="24"/>
        </w:rPr>
        <w:t xml:space="preserve"> i</w:t>
      </w:r>
      <w:r w:rsidR="007B054F" w:rsidRPr="00E7371E">
        <w:rPr>
          <w:rFonts w:ascii="Times New Roman" w:hAnsi="Times New Roman"/>
          <w:szCs w:val="24"/>
        </w:rPr>
        <w:t xml:space="preserve"> humanitarnim organizacijama </w:t>
      </w:r>
      <w:r w:rsidRPr="00E7371E">
        <w:rPr>
          <w:rFonts w:ascii="Times New Roman" w:hAnsi="Times New Roman"/>
          <w:szCs w:val="24"/>
        </w:rPr>
        <w:t>kroz javni poziv</w:t>
      </w:r>
      <w:r w:rsidR="007B054F">
        <w:rPr>
          <w:rFonts w:ascii="Times New Roman" w:hAnsi="Times New Roman"/>
          <w:szCs w:val="24"/>
        </w:rPr>
        <w:t xml:space="preserve"> </w:t>
      </w:r>
      <w:r w:rsidRPr="00E7371E">
        <w:rPr>
          <w:rFonts w:ascii="Times New Roman" w:hAnsi="Times New Roman"/>
          <w:szCs w:val="24"/>
        </w:rPr>
        <w:t xml:space="preserve">od interesa za Bjelovarsko-bilogorsku županiju. </w:t>
      </w:r>
    </w:p>
    <w:p w14:paraId="514FE3F9" w14:textId="3AA74D8A" w:rsidR="00D355BF" w:rsidRPr="007C61A7" w:rsidRDefault="00D355BF" w:rsidP="008F4E68">
      <w:pPr>
        <w:spacing w:line="360" w:lineRule="auto"/>
        <w:jc w:val="both"/>
        <w:rPr>
          <w:rFonts w:ascii="Times New Roman" w:hAnsi="Times New Roman"/>
          <w:szCs w:val="24"/>
          <w:highlight w:val="lightGray"/>
        </w:rPr>
      </w:pPr>
    </w:p>
    <w:p w14:paraId="00E9A19A" w14:textId="7809D3A3" w:rsidR="00D355BF" w:rsidRDefault="00D355BF" w:rsidP="00D355BF">
      <w:pPr>
        <w:spacing w:line="360" w:lineRule="auto"/>
        <w:ind w:firstLine="708"/>
        <w:jc w:val="both"/>
        <w:rPr>
          <w:rFonts w:ascii="Times New Roman" w:hAnsi="Times New Roman"/>
          <w:bCs/>
          <w:iCs/>
          <w:szCs w:val="24"/>
        </w:rPr>
      </w:pPr>
      <w:r w:rsidRPr="007D366C">
        <w:rPr>
          <w:rFonts w:ascii="Times New Roman" w:hAnsi="Times New Roman"/>
          <w:b/>
          <w:i/>
          <w:szCs w:val="24"/>
        </w:rPr>
        <w:t xml:space="preserve">Rashodi za nabavu nefinancijske imovine </w:t>
      </w:r>
      <w:r w:rsidRPr="007D366C">
        <w:rPr>
          <w:rFonts w:ascii="Times New Roman" w:hAnsi="Times New Roman"/>
          <w:bCs/>
          <w:iCs/>
          <w:szCs w:val="24"/>
        </w:rPr>
        <w:t>ostvareni su u</w:t>
      </w:r>
      <w:r w:rsidR="00297CBD">
        <w:rPr>
          <w:rFonts w:ascii="Times New Roman" w:hAnsi="Times New Roman"/>
          <w:bCs/>
          <w:iCs/>
          <w:szCs w:val="24"/>
        </w:rPr>
        <w:t xml:space="preserve"> </w:t>
      </w:r>
      <w:r w:rsidRPr="007D366C">
        <w:rPr>
          <w:rFonts w:ascii="Times New Roman" w:hAnsi="Times New Roman"/>
          <w:bCs/>
          <w:iCs/>
          <w:szCs w:val="24"/>
        </w:rPr>
        <w:t xml:space="preserve">iznosu od </w:t>
      </w:r>
      <w:r>
        <w:rPr>
          <w:rFonts w:ascii="Times New Roman" w:hAnsi="Times New Roman"/>
          <w:bCs/>
          <w:iCs/>
          <w:szCs w:val="24"/>
        </w:rPr>
        <w:t xml:space="preserve">4.809.653,20 </w:t>
      </w:r>
      <w:r w:rsidR="00297CBD">
        <w:rPr>
          <w:rFonts w:ascii="Times New Roman" w:hAnsi="Times New Roman"/>
          <w:bCs/>
          <w:iCs/>
          <w:szCs w:val="24"/>
        </w:rPr>
        <w:t>eura</w:t>
      </w:r>
      <w:r w:rsidRPr="007D366C">
        <w:rPr>
          <w:rFonts w:ascii="Times New Roman" w:hAnsi="Times New Roman"/>
          <w:bCs/>
          <w:iCs/>
          <w:szCs w:val="24"/>
        </w:rPr>
        <w:t xml:space="preserve"> što je </w:t>
      </w:r>
      <w:r>
        <w:rPr>
          <w:rFonts w:ascii="Times New Roman" w:hAnsi="Times New Roman"/>
          <w:bCs/>
          <w:iCs/>
          <w:szCs w:val="24"/>
        </w:rPr>
        <w:t xml:space="preserve">136,60 </w:t>
      </w:r>
      <w:r w:rsidRPr="007D366C">
        <w:rPr>
          <w:rFonts w:ascii="Times New Roman" w:hAnsi="Times New Roman"/>
          <w:bCs/>
          <w:iCs/>
          <w:szCs w:val="24"/>
        </w:rPr>
        <w:t>% više nego u istom razdoblju prethodne godine</w:t>
      </w:r>
      <w:r w:rsidR="00297CBD">
        <w:rPr>
          <w:rFonts w:ascii="Times New Roman" w:hAnsi="Times New Roman"/>
          <w:bCs/>
          <w:iCs/>
          <w:szCs w:val="24"/>
        </w:rPr>
        <w:t xml:space="preserve"> i 20,70 %</w:t>
      </w:r>
      <w:r w:rsidR="00297CBD" w:rsidRPr="00297CBD">
        <w:rPr>
          <w:rFonts w:ascii="Times New Roman" w:hAnsi="Times New Roman"/>
          <w:bCs/>
          <w:szCs w:val="24"/>
        </w:rPr>
        <w:t xml:space="preserve"> </w:t>
      </w:r>
      <w:r w:rsidR="00297CBD">
        <w:rPr>
          <w:rFonts w:ascii="Times New Roman" w:hAnsi="Times New Roman"/>
          <w:bCs/>
          <w:szCs w:val="24"/>
        </w:rPr>
        <w:t xml:space="preserve">ostvarenje </w:t>
      </w:r>
      <w:r w:rsidR="00297CBD">
        <w:rPr>
          <w:rFonts w:ascii="Times New Roman" w:hAnsi="Times New Roman"/>
          <w:bCs/>
          <w:noProof/>
          <w:szCs w:val="24"/>
        </w:rPr>
        <w:t xml:space="preserve">u ovom obračunskom razdoblju u odnosu na </w:t>
      </w:r>
      <w:r w:rsidR="00297CBD" w:rsidRPr="00B954B3">
        <w:rPr>
          <w:rFonts w:ascii="Times New Roman" w:hAnsi="Times New Roman"/>
          <w:bCs/>
          <w:noProof/>
          <w:szCs w:val="24"/>
        </w:rPr>
        <w:t>plan</w:t>
      </w:r>
      <w:r w:rsidRPr="007D366C">
        <w:rPr>
          <w:rFonts w:ascii="Times New Roman" w:hAnsi="Times New Roman"/>
          <w:bCs/>
          <w:iCs/>
          <w:szCs w:val="24"/>
        </w:rPr>
        <w:t>.</w:t>
      </w:r>
    </w:p>
    <w:p w14:paraId="474D8C18" w14:textId="5A18CA47" w:rsidR="004813B8" w:rsidRPr="007D366C" w:rsidRDefault="004813B8" w:rsidP="00D355BF">
      <w:pPr>
        <w:spacing w:line="360" w:lineRule="auto"/>
        <w:ind w:firstLine="708"/>
        <w:jc w:val="both"/>
        <w:rPr>
          <w:rFonts w:ascii="Times New Roman" w:hAnsi="Times New Roman"/>
          <w:bCs/>
          <w:iCs/>
          <w:szCs w:val="24"/>
        </w:rPr>
      </w:pPr>
      <w:r w:rsidRPr="00C30259">
        <w:rPr>
          <w:rFonts w:ascii="Times New Roman" w:hAnsi="Times New Roman"/>
          <w:b/>
          <w:szCs w:val="24"/>
        </w:rPr>
        <w:t xml:space="preserve">Rashodi za nabavu </w:t>
      </w:r>
      <w:proofErr w:type="spellStart"/>
      <w:r>
        <w:rPr>
          <w:rFonts w:ascii="Times New Roman" w:hAnsi="Times New Roman"/>
          <w:b/>
          <w:szCs w:val="24"/>
        </w:rPr>
        <w:t>ne</w:t>
      </w:r>
      <w:r w:rsidRPr="00C30259">
        <w:rPr>
          <w:rFonts w:ascii="Times New Roman" w:hAnsi="Times New Roman"/>
          <w:b/>
          <w:szCs w:val="24"/>
        </w:rPr>
        <w:t>proizvedene</w:t>
      </w:r>
      <w:proofErr w:type="spellEnd"/>
      <w:r w:rsidRPr="00C30259">
        <w:rPr>
          <w:rFonts w:ascii="Times New Roman" w:hAnsi="Times New Roman"/>
          <w:b/>
          <w:szCs w:val="24"/>
        </w:rPr>
        <w:t xml:space="preserve"> dugotrajne imovine</w:t>
      </w:r>
      <w:r w:rsidRPr="00C30259">
        <w:rPr>
          <w:rFonts w:ascii="Times New Roman" w:hAnsi="Times New Roman"/>
          <w:szCs w:val="24"/>
        </w:rPr>
        <w:t xml:space="preserve"> </w:t>
      </w:r>
      <w:r w:rsidRPr="007D366C">
        <w:rPr>
          <w:rFonts w:ascii="Times New Roman" w:hAnsi="Times New Roman"/>
          <w:bCs/>
          <w:iCs/>
          <w:szCs w:val="24"/>
        </w:rPr>
        <w:t>ostvareni su u</w:t>
      </w:r>
      <w:r>
        <w:rPr>
          <w:rFonts w:ascii="Times New Roman" w:hAnsi="Times New Roman"/>
          <w:bCs/>
          <w:iCs/>
          <w:szCs w:val="24"/>
        </w:rPr>
        <w:t xml:space="preserve"> </w:t>
      </w:r>
      <w:r w:rsidRPr="007D366C">
        <w:rPr>
          <w:rFonts w:ascii="Times New Roman" w:hAnsi="Times New Roman"/>
          <w:bCs/>
          <w:iCs/>
          <w:szCs w:val="24"/>
        </w:rPr>
        <w:t xml:space="preserve">iznosu od </w:t>
      </w:r>
      <w:r>
        <w:rPr>
          <w:rFonts w:ascii="Times New Roman" w:hAnsi="Times New Roman"/>
          <w:bCs/>
          <w:iCs/>
          <w:szCs w:val="24"/>
        </w:rPr>
        <w:t>3.825,74 eura</w:t>
      </w:r>
      <w:r w:rsidRPr="007D366C">
        <w:rPr>
          <w:rFonts w:ascii="Times New Roman" w:hAnsi="Times New Roman"/>
          <w:bCs/>
          <w:iCs/>
          <w:szCs w:val="24"/>
        </w:rPr>
        <w:t xml:space="preserve"> što je </w:t>
      </w:r>
      <w:r>
        <w:rPr>
          <w:rFonts w:ascii="Times New Roman" w:hAnsi="Times New Roman"/>
          <w:bCs/>
          <w:iCs/>
          <w:szCs w:val="24"/>
        </w:rPr>
        <w:t xml:space="preserve">52,11 </w:t>
      </w:r>
      <w:r w:rsidRPr="007D366C">
        <w:rPr>
          <w:rFonts w:ascii="Times New Roman" w:hAnsi="Times New Roman"/>
          <w:bCs/>
          <w:iCs/>
          <w:szCs w:val="24"/>
        </w:rPr>
        <w:t xml:space="preserve">% </w:t>
      </w:r>
      <w:r>
        <w:rPr>
          <w:rFonts w:ascii="Times New Roman" w:hAnsi="Times New Roman"/>
          <w:bCs/>
          <w:iCs/>
          <w:szCs w:val="24"/>
        </w:rPr>
        <w:t>manje</w:t>
      </w:r>
      <w:r w:rsidRPr="007D366C">
        <w:rPr>
          <w:rFonts w:ascii="Times New Roman" w:hAnsi="Times New Roman"/>
          <w:bCs/>
          <w:iCs/>
          <w:szCs w:val="24"/>
        </w:rPr>
        <w:t xml:space="preserve"> nego u istom razdoblju prethodne godine</w:t>
      </w:r>
      <w:r>
        <w:rPr>
          <w:rFonts w:ascii="Times New Roman" w:hAnsi="Times New Roman"/>
          <w:bCs/>
          <w:iCs/>
          <w:szCs w:val="24"/>
        </w:rPr>
        <w:t xml:space="preserve"> i 0,43 %</w:t>
      </w:r>
      <w:r w:rsidRPr="00297CBD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 xml:space="preserve">ostvarenje </w:t>
      </w:r>
      <w:r>
        <w:rPr>
          <w:rFonts w:ascii="Times New Roman" w:hAnsi="Times New Roman"/>
          <w:bCs/>
          <w:noProof/>
          <w:szCs w:val="24"/>
        </w:rPr>
        <w:t xml:space="preserve">u ovom obračunskom razdoblju u odnosu na </w:t>
      </w:r>
      <w:r w:rsidRPr="00B954B3">
        <w:rPr>
          <w:rFonts w:ascii="Times New Roman" w:hAnsi="Times New Roman"/>
          <w:bCs/>
          <w:noProof/>
          <w:szCs w:val="24"/>
        </w:rPr>
        <w:t>plan</w:t>
      </w:r>
      <w:r>
        <w:rPr>
          <w:rFonts w:ascii="Times New Roman" w:hAnsi="Times New Roman"/>
          <w:bCs/>
          <w:noProof/>
          <w:szCs w:val="24"/>
        </w:rPr>
        <w:t>, a</w:t>
      </w:r>
      <w:r>
        <w:rPr>
          <w:rFonts w:ascii="Times New Roman" w:hAnsi="Times New Roman"/>
          <w:szCs w:val="24"/>
        </w:rPr>
        <w:t xml:space="preserve"> o</w:t>
      </w:r>
      <w:r w:rsidRPr="00C30259">
        <w:rPr>
          <w:rFonts w:ascii="Times New Roman" w:hAnsi="Times New Roman"/>
          <w:szCs w:val="24"/>
        </w:rPr>
        <w:t>dnose se na</w:t>
      </w:r>
      <w:r>
        <w:rPr>
          <w:rFonts w:ascii="Times New Roman" w:hAnsi="Times New Roman"/>
          <w:szCs w:val="24"/>
        </w:rPr>
        <w:t xml:space="preserve"> rashode</w:t>
      </w:r>
      <w:r w:rsidRPr="004813B8">
        <w:rPr>
          <w:rFonts w:ascii="Times New Roman" w:hAnsi="Times New Roman"/>
          <w:szCs w:val="24"/>
        </w:rPr>
        <w:t xml:space="preserve"> iskazan</w:t>
      </w:r>
      <w:r>
        <w:rPr>
          <w:rFonts w:ascii="Times New Roman" w:hAnsi="Times New Roman"/>
          <w:szCs w:val="24"/>
        </w:rPr>
        <w:t>e</w:t>
      </w:r>
      <w:r w:rsidRPr="004813B8">
        <w:rPr>
          <w:rFonts w:ascii="Times New Roman" w:hAnsi="Times New Roman"/>
          <w:szCs w:val="24"/>
        </w:rPr>
        <w:t xml:space="preserve"> kod OŠ </w:t>
      </w:r>
      <w:proofErr w:type="spellStart"/>
      <w:r w:rsidRPr="004813B8">
        <w:rPr>
          <w:rFonts w:ascii="Times New Roman" w:hAnsi="Times New Roman"/>
          <w:szCs w:val="24"/>
        </w:rPr>
        <w:t>Ivanska</w:t>
      </w:r>
      <w:proofErr w:type="spellEnd"/>
      <w:r w:rsidRPr="004813B8">
        <w:rPr>
          <w:rFonts w:ascii="Times New Roman" w:hAnsi="Times New Roman"/>
          <w:szCs w:val="24"/>
        </w:rPr>
        <w:t xml:space="preserve"> za procjembeni elaborat tržišne vrijednosti nekretnina za zemljište, Tehničke škole Bjelovar za licence te Specijalne bolnice za medicinsku rehabilitaciju Daruvarske toplice za licence.</w:t>
      </w:r>
    </w:p>
    <w:p w14:paraId="08FC93CC" w14:textId="03A14336" w:rsidR="00320E01" w:rsidRDefault="00D355BF" w:rsidP="00AE4D34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bookmarkStart w:id="2" w:name="_Hlk207111905"/>
      <w:r w:rsidRPr="00C30259">
        <w:rPr>
          <w:rFonts w:ascii="Times New Roman" w:hAnsi="Times New Roman"/>
          <w:b/>
          <w:szCs w:val="24"/>
        </w:rPr>
        <w:t>Rashodi za nabavu proizvedene dugotrajne imovine</w:t>
      </w:r>
      <w:r w:rsidRPr="00C30259">
        <w:rPr>
          <w:rFonts w:ascii="Times New Roman" w:hAnsi="Times New Roman"/>
          <w:szCs w:val="24"/>
        </w:rPr>
        <w:t xml:space="preserve"> </w:t>
      </w:r>
      <w:bookmarkStart w:id="3" w:name="_Hlk207174489"/>
      <w:r w:rsidR="004813B8" w:rsidRPr="007D366C">
        <w:rPr>
          <w:rFonts w:ascii="Times New Roman" w:hAnsi="Times New Roman"/>
          <w:bCs/>
          <w:iCs/>
          <w:szCs w:val="24"/>
        </w:rPr>
        <w:t>ostvareni su u</w:t>
      </w:r>
      <w:r w:rsidR="004813B8">
        <w:rPr>
          <w:rFonts w:ascii="Times New Roman" w:hAnsi="Times New Roman"/>
          <w:bCs/>
          <w:iCs/>
          <w:szCs w:val="24"/>
        </w:rPr>
        <w:t xml:space="preserve"> </w:t>
      </w:r>
      <w:r w:rsidR="004813B8" w:rsidRPr="007D366C">
        <w:rPr>
          <w:rFonts w:ascii="Times New Roman" w:hAnsi="Times New Roman"/>
          <w:bCs/>
          <w:iCs/>
          <w:szCs w:val="24"/>
        </w:rPr>
        <w:t xml:space="preserve">iznosu od </w:t>
      </w:r>
      <w:r w:rsidR="00320E01">
        <w:rPr>
          <w:rFonts w:ascii="Times New Roman" w:hAnsi="Times New Roman"/>
          <w:bCs/>
          <w:iCs/>
          <w:szCs w:val="24"/>
        </w:rPr>
        <w:t>1.273.372,85</w:t>
      </w:r>
      <w:r w:rsidR="004813B8">
        <w:rPr>
          <w:rFonts w:ascii="Times New Roman" w:hAnsi="Times New Roman"/>
          <w:bCs/>
          <w:iCs/>
          <w:szCs w:val="24"/>
        </w:rPr>
        <w:t xml:space="preserve"> eura</w:t>
      </w:r>
      <w:r w:rsidR="004813B8" w:rsidRPr="007D366C">
        <w:rPr>
          <w:rFonts w:ascii="Times New Roman" w:hAnsi="Times New Roman"/>
          <w:bCs/>
          <w:iCs/>
          <w:szCs w:val="24"/>
        </w:rPr>
        <w:t xml:space="preserve"> što je </w:t>
      </w:r>
      <w:r w:rsidR="00320E01">
        <w:rPr>
          <w:rFonts w:ascii="Times New Roman" w:hAnsi="Times New Roman"/>
          <w:bCs/>
          <w:iCs/>
          <w:szCs w:val="24"/>
        </w:rPr>
        <w:t>22,29</w:t>
      </w:r>
      <w:r w:rsidR="004813B8">
        <w:rPr>
          <w:rFonts w:ascii="Times New Roman" w:hAnsi="Times New Roman"/>
          <w:bCs/>
          <w:iCs/>
          <w:szCs w:val="24"/>
        </w:rPr>
        <w:t xml:space="preserve"> </w:t>
      </w:r>
      <w:r w:rsidR="004813B8" w:rsidRPr="007D366C">
        <w:rPr>
          <w:rFonts w:ascii="Times New Roman" w:hAnsi="Times New Roman"/>
          <w:bCs/>
          <w:iCs/>
          <w:szCs w:val="24"/>
        </w:rPr>
        <w:t xml:space="preserve">% </w:t>
      </w:r>
      <w:r w:rsidR="00320E01">
        <w:rPr>
          <w:rFonts w:ascii="Times New Roman" w:hAnsi="Times New Roman"/>
          <w:bCs/>
          <w:iCs/>
          <w:szCs w:val="24"/>
        </w:rPr>
        <w:t>više</w:t>
      </w:r>
      <w:r w:rsidR="004813B8" w:rsidRPr="007D366C">
        <w:rPr>
          <w:rFonts w:ascii="Times New Roman" w:hAnsi="Times New Roman"/>
          <w:bCs/>
          <w:iCs/>
          <w:szCs w:val="24"/>
        </w:rPr>
        <w:t xml:space="preserve"> </w:t>
      </w:r>
      <w:r w:rsidR="00320E01">
        <w:rPr>
          <w:rFonts w:ascii="Times New Roman" w:hAnsi="Times New Roman"/>
          <w:bCs/>
          <w:noProof/>
          <w:szCs w:val="24"/>
        </w:rPr>
        <w:t>u odnosu na promatrano razdoblje prethodne godine</w:t>
      </w:r>
      <w:r w:rsidR="004813B8">
        <w:rPr>
          <w:rFonts w:ascii="Times New Roman" w:hAnsi="Times New Roman"/>
          <w:bCs/>
          <w:iCs/>
          <w:szCs w:val="24"/>
        </w:rPr>
        <w:t xml:space="preserve"> i </w:t>
      </w:r>
      <w:r w:rsidR="00320E01">
        <w:rPr>
          <w:rFonts w:ascii="Times New Roman" w:hAnsi="Times New Roman"/>
          <w:bCs/>
          <w:iCs/>
          <w:szCs w:val="24"/>
        </w:rPr>
        <w:t>41,59</w:t>
      </w:r>
      <w:r w:rsidR="004813B8">
        <w:rPr>
          <w:rFonts w:ascii="Times New Roman" w:hAnsi="Times New Roman"/>
          <w:bCs/>
          <w:iCs/>
          <w:szCs w:val="24"/>
        </w:rPr>
        <w:t xml:space="preserve"> %</w:t>
      </w:r>
      <w:r w:rsidR="004813B8" w:rsidRPr="00297CBD">
        <w:rPr>
          <w:rFonts w:ascii="Times New Roman" w:hAnsi="Times New Roman"/>
          <w:bCs/>
          <w:szCs w:val="24"/>
        </w:rPr>
        <w:t xml:space="preserve"> </w:t>
      </w:r>
      <w:r w:rsidR="004813B8">
        <w:rPr>
          <w:rFonts w:ascii="Times New Roman" w:hAnsi="Times New Roman"/>
          <w:bCs/>
          <w:szCs w:val="24"/>
        </w:rPr>
        <w:t xml:space="preserve">ostvarenje </w:t>
      </w:r>
      <w:r w:rsidR="004813B8">
        <w:rPr>
          <w:rFonts w:ascii="Times New Roman" w:hAnsi="Times New Roman"/>
          <w:bCs/>
          <w:noProof/>
          <w:szCs w:val="24"/>
        </w:rPr>
        <w:t xml:space="preserve">u ovom obračunskom razdoblju u odnosu na </w:t>
      </w:r>
      <w:r w:rsidR="004813B8" w:rsidRPr="00B954B3">
        <w:rPr>
          <w:rFonts w:ascii="Times New Roman" w:hAnsi="Times New Roman"/>
          <w:bCs/>
          <w:noProof/>
          <w:szCs w:val="24"/>
        </w:rPr>
        <w:t>plan</w:t>
      </w:r>
      <w:r w:rsidR="004813B8">
        <w:rPr>
          <w:rFonts w:ascii="Times New Roman" w:hAnsi="Times New Roman"/>
          <w:bCs/>
          <w:noProof/>
          <w:szCs w:val="24"/>
        </w:rPr>
        <w:t>, a</w:t>
      </w:r>
      <w:r w:rsidR="004813B8">
        <w:rPr>
          <w:rFonts w:ascii="Times New Roman" w:hAnsi="Times New Roman"/>
          <w:szCs w:val="24"/>
        </w:rPr>
        <w:t xml:space="preserve"> o</w:t>
      </w:r>
      <w:r w:rsidRPr="00C30259">
        <w:rPr>
          <w:rFonts w:ascii="Times New Roman" w:hAnsi="Times New Roman"/>
          <w:szCs w:val="24"/>
        </w:rPr>
        <w:t>dnose se na</w:t>
      </w:r>
      <w:r w:rsidR="00320E01">
        <w:rPr>
          <w:rFonts w:ascii="Times New Roman" w:hAnsi="Times New Roman"/>
          <w:szCs w:val="24"/>
        </w:rPr>
        <w:t xml:space="preserve"> </w:t>
      </w:r>
      <w:bookmarkEnd w:id="2"/>
      <w:bookmarkEnd w:id="3"/>
      <w:r w:rsidR="00A43319" w:rsidRPr="00A43319">
        <w:rPr>
          <w:rFonts w:ascii="Times New Roman" w:hAnsi="Times New Roman"/>
          <w:szCs w:val="24"/>
        </w:rPr>
        <w:t xml:space="preserve">odnose se na ulaganja </w:t>
      </w:r>
      <w:r w:rsidR="00A43319">
        <w:rPr>
          <w:rFonts w:ascii="Times New Roman" w:hAnsi="Times New Roman"/>
          <w:szCs w:val="24"/>
        </w:rPr>
        <w:t>Ž</w:t>
      </w:r>
      <w:r w:rsidR="00A43319" w:rsidRPr="00A43319">
        <w:rPr>
          <w:rFonts w:ascii="Times New Roman" w:hAnsi="Times New Roman"/>
          <w:szCs w:val="24"/>
        </w:rPr>
        <w:t>upanije u imovinu, opremanje korisnika u osnovnom i srednjem školstvu</w:t>
      </w:r>
      <w:r w:rsidR="00A43319">
        <w:rPr>
          <w:rFonts w:ascii="Times New Roman" w:hAnsi="Times New Roman"/>
          <w:szCs w:val="24"/>
        </w:rPr>
        <w:t xml:space="preserve"> i </w:t>
      </w:r>
      <w:r w:rsidR="00A43319" w:rsidRPr="00A43319">
        <w:rPr>
          <w:rFonts w:ascii="Times New Roman" w:hAnsi="Times New Roman"/>
          <w:szCs w:val="24"/>
        </w:rPr>
        <w:t>zdravstvu. Od značajnijeg kapitalnog ulaganja u obračunskom razdoblju iz izvornih sredstava za dovršetak školsko</w:t>
      </w:r>
      <w:r w:rsidR="00A43319">
        <w:rPr>
          <w:rFonts w:ascii="Times New Roman" w:hAnsi="Times New Roman"/>
          <w:szCs w:val="24"/>
        </w:rPr>
        <w:t xml:space="preserve"> </w:t>
      </w:r>
      <w:r w:rsidR="00A43319" w:rsidRPr="00A43319">
        <w:rPr>
          <w:rFonts w:ascii="Times New Roman" w:hAnsi="Times New Roman"/>
          <w:szCs w:val="24"/>
        </w:rPr>
        <w:t>-</w:t>
      </w:r>
      <w:r w:rsidR="00A43319">
        <w:rPr>
          <w:rFonts w:ascii="Times New Roman" w:hAnsi="Times New Roman"/>
          <w:szCs w:val="24"/>
        </w:rPr>
        <w:t xml:space="preserve"> </w:t>
      </w:r>
      <w:r w:rsidR="00A43319" w:rsidRPr="00A43319">
        <w:rPr>
          <w:rFonts w:ascii="Times New Roman" w:hAnsi="Times New Roman"/>
          <w:szCs w:val="24"/>
        </w:rPr>
        <w:t>sportske dvorane Hercegovac</w:t>
      </w:r>
      <w:r w:rsidR="00A43319">
        <w:rPr>
          <w:rFonts w:ascii="Times New Roman" w:hAnsi="Times New Roman"/>
          <w:szCs w:val="24"/>
        </w:rPr>
        <w:t xml:space="preserve"> </w:t>
      </w:r>
      <w:r w:rsidR="00A43319" w:rsidRPr="00A43319">
        <w:rPr>
          <w:rFonts w:ascii="Times New Roman" w:hAnsi="Times New Roman"/>
          <w:szCs w:val="24"/>
        </w:rPr>
        <w:t xml:space="preserve">izdvojeno je 615.825,97 </w:t>
      </w:r>
      <w:r w:rsidR="00A43319">
        <w:rPr>
          <w:rFonts w:ascii="Times New Roman" w:hAnsi="Times New Roman"/>
          <w:szCs w:val="24"/>
        </w:rPr>
        <w:t>eura te</w:t>
      </w:r>
      <w:r w:rsidR="00A43319" w:rsidRPr="00A43319">
        <w:rPr>
          <w:rFonts w:ascii="Times New Roman" w:hAnsi="Times New Roman"/>
          <w:szCs w:val="24"/>
        </w:rPr>
        <w:t xml:space="preserve"> izradu projektn</w:t>
      </w:r>
      <w:r w:rsidR="00A43319">
        <w:rPr>
          <w:rFonts w:ascii="Times New Roman" w:hAnsi="Times New Roman"/>
          <w:szCs w:val="24"/>
        </w:rPr>
        <w:t xml:space="preserve">o - </w:t>
      </w:r>
      <w:r w:rsidR="00A43319" w:rsidRPr="00A43319">
        <w:rPr>
          <w:rFonts w:ascii="Times New Roman" w:hAnsi="Times New Roman"/>
          <w:szCs w:val="24"/>
        </w:rPr>
        <w:t>tehničke dokumentacije za škole</w:t>
      </w:r>
      <w:r w:rsidR="00A43319">
        <w:rPr>
          <w:rFonts w:ascii="Times New Roman" w:hAnsi="Times New Roman"/>
          <w:szCs w:val="24"/>
        </w:rPr>
        <w:t>.</w:t>
      </w:r>
      <w:r w:rsidR="00A43319" w:rsidRPr="00A43319">
        <w:rPr>
          <w:rFonts w:ascii="Times New Roman" w:hAnsi="Times New Roman"/>
          <w:szCs w:val="24"/>
        </w:rPr>
        <w:t xml:space="preserve"> Prijevozna sredstva u cestovnom prometu odnose se na nabavu automobila u službene svrhe i  kombi vozila za potrebe </w:t>
      </w:r>
      <w:r w:rsidR="003A6A30" w:rsidRPr="003A6A30">
        <w:rPr>
          <w:rFonts w:ascii="Times New Roman" w:hAnsi="Times New Roman"/>
          <w:szCs w:val="24"/>
        </w:rPr>
        <w:t>Doma za starije osobe Bjelovar</w:t>
      </w:r>
      <w:r w:rsidR="003A6A30">
        <w:rPr>
          <w:rFonts w:ascii="Times New Roman" w:hAnsi="Times New Roman"/>
          <w:szCs w:val="24"/>
        </w:rPr>
        <w:t xml:space="preserve"> i Glazbene škole Vatroslava Lisinskog Bjelovar</w:t>
      </w:r>
      <w:r w:rsidR="00A43319" w:rsidRPr="00A43319">
        <w:rPr>
          <w:rFonts w:ascii="Times New Roman" w:hAnsi="Times New Roman"/>
          <w:szCs w:val="24"/>
        </w:rPr>
        <w:t>.</w:t>
      </w:r>
      <w:r w:rsidR="00B52B24">
        <w:rPr>
          <w:rFonts w:ascii="Times New Roman" w:hAnsi="Times New Roman"/>
          <w:szCs w:val="24"/>
        </w:rPr>
        <w:t xml:space="preserve"> </w:t>
      </w:r>
      <w:r w:rsidR="00B52B24" w:rsidRPr="00B52B24">
        <w:rPr>
          <w:rFonts w:ascii="Times New Roman" w:hAnsi="Times New Roman"/>
          <w:szCs w:val="24"/>
        </w:rPr>
        <w:t xml:space="preserve">Ulaganja u računalne programe iskazana su kod Doma zdravlja Bjelovarsko-bilogorske županije za implementaciju sustava </w:t>
      </w:r>
      <w:proofErr w:type="spellStart"/>
      <w:r w:rsidR="00B52B24" w:rsidRPr="00B52B24">
        <w:rPr>
          <w:rFonts w:ascii="Times New Roman" w:hAnsi="Times New Roman"/>
          <w:szCs w:val="24"/>
        </w:rPr>
        <w:t>eDom</w:t>
      </w:r>
      <w:proofErr w:type="spellEnd"/>
      <w:r w:rsidR="00B52B24" w:rsidRPr="00B52B24">
        <w:rPr>
          <w:rFonts w:ascii="Times New Roman" w:hAnsi="Times New Roman"/>
          <w:szCs w:val="24"/>
        </w:rPr>
        <w:t xml:space="preserve"> zdravlja i Specijalne bolnice za medicinsku rehabilitaciju Daruvarske toplice.</w:t>
      </w:r>
    </w:p>
    <w:p w14:paraId="237F94A9" w14:textId="1DA9ADC5" w:rsidR="00404FA1" w:rsidRDefault="00404FA1" w:rsidP="00D355BF">
      <w:pPr>
        <w:pStyle w:val="NoSpacing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4F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 xml:space="preserve">Rashodi za nabavu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plemenitih metala i ostalih pohranjenih vrijednosti</w:t>
      </w:r>
      <w:r w:rsidRPr="00404F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B5959" w:rsidRPr="00EB5959">
        <w:rPr>
          <w:rFonts w:ascii="Times New Roman" w:hAnsi="Times New Roman"/>
          <w:bCs/>
          <w:iCs/>
          <w:sz w:val="24"/>
          <w:szCs w:val="24"/>
        </w:rPr>
        <w:t xml:space="preserve">ostvareni su u iznosu od </w:t>
      </w:r>
      <w:r w:rsidR="00EB5959">
        <w:rPr>
          <w:rFonts w:ascii="Times New Roman" w:hAnsi="Times New Roman"/>
          <w:bCs/>
          <w:iCs/>
          <w:sz w:val="24"/>
          <w:szCs w:val="24"/>
        </w:rPr>
        <w:t>689,94</w:t>
      </w:r>
      <w:r w:rsidR="00EB5959" w:rsidRPr="00EB5959">
        <w:rPr>
          <w:rFonts w:ascii="Times New Roman" w:hAnsi="Times New Roman"/>
          <w:bCs/>
          <w:iCs/>
          <w:sz w:val="24"/>
          <w:szCs w:val="24"/>
        </w:rPr>
        <w:t xml:space="preserve"> eura što je </w:t>
      </w:r>
      <w:r w:rsidR="00EB5959">
        <w:rPr>
          <w:rFonts w:ascii="Times New Roman" w:hAnsi="Times New Roman"/>
          <w:bCs/>
          <w:iCs/>
          <w:sz w:val="24"/>
          <w:szCs w:val="24"/>
        </w:rPr>
        <w:t>87,04</w:t>
      </w:r>
      <w:r w:rsidR="00EB5959" w:rsidRPr="00EB5959">
        <w:rPr>
          <w:rFonts w:ascii="Times New Roman" w:hAnsi="Times New Roman"/>
          <w:bCs/>
          <w:iCs/>
          <w:sz w:val="24"/>
          <w:szCs w:val="24"/>
        </w:rPr>
        <w:t xml:space="preserve"> % više </w:t>
      </w:r>
      <w:r w:rsidR="00EB5959" w:rsidRPr="00EB5959">
        <w:rPr>
          <w:rFonts w:ascii="Times New Roman" w:hAnsi="Times New Roman"/>
          <w:bCs/>
          <w:noProof/>
          <w:sz w:val="24"/>
          <w:szCs w:val="24"/>
        </w:rPr>
        <w:t>u odnosu na promatrano razdoblje prethodne godine</w:t>
      </w:r>
      <w:r w:rsidR="00EB5959" w:rsidRPr="00EB5959">
        <w:rPr>
          <w:rFonts w:ascii="Times New Roman" w:hAnsi="Times New Roman"/>
          <w:bCs/>
          <w:iCs/>
          <w:sz w:val="24"/>
          <w:szCs w:val="24"/>
        </w:rPr>
        <w:t xml:space="preserve"> i </w:t>
      </w:r>
      <w:r w:rsidR="00EB5959">
        <w:rPr>
          <w:rFonts w:ascii="Times New Roman" w:hAnsi="Times New Roman"/>
          <w:bCs/>
          <w:iCs/>
          <w:sz w:val="24"/>
          <w:szCs w:val="24"/>
        </w:rPr>
        <w:t>28,75</w:t>
      </w:r>
      <w:r w:rsidR="00EB5959" w:rsidRPr="00EB5959">
        <w:rPr>
          <w:rFonts w:ascii="Times New Roman" w:hAnsi="Times New Roman"/>
          <w:bCs/>
          <w:iCs/>
          <w:sz w:val="24"/>
          <w:szCs w:val="24"/>
        </w:rPr>
        <w:t xml:space="preserve"> %</w:t>
      </w:r>
      <w:r w:rsidR="00EB5959" w:rsidRPr="00EB5959">
        <w:rPr>
          <w:rFonts w:ascii="Times New Roman" w:hAnsi="Times New Roman"/>
          <w:bCs/>
          <w:sz w:val="24"/>
          <w:szCs w:val="24"/>
        </w:rPr>
        <w:t xml:space="preserve"> ostvarenje </w:t>
      </w:r>
      <w:r w:rsidR="00EB5959" w:rsidRPr="00EB5959">
        <w:rPr>
          <w:rFonts w:ascii="Times New Roman" w:hAnsi="Times New Roman"/>
          <w:bCs/>
          <w:noProof/>
          <w:sz w:val="24"/>
          <w:szCs w:val="24"/>
        </w:rPr>
        <w:t>u ovom obračunskom razdoblju u odnosu na plan, a</w:t>
      </w:r>
      <w:r w:rsidR="00EB5959" w:rsidRPr="00EB5959">
        <w:rPr>
          <w:rFonts w:ascii="Times New Roman" w:hAnsi="Times New Roman"/>
          <w:sz w:val="24"/>
          <w:szCs w:val="24"/>
        </w:rPr>
        <w:t xml:space="preserve"> odnos</w:t>
      </w:r>
      <w:r w:rsidR="00EB5959">
        <w:rPr>
          <w:rFonts w:ascii="Times New Roman" w:hAnsi="Times New Roman"/>
          <w:sz w:val="24"/>
          <w:szCs w:val="24"/>
        </w:rPr>
        <w:t>e</w:t>
      </w:r>
      <w:r w:rsidR="00EB5959" w:rsidRPr="00EB5959">
        <w:rPr>
          <w:rFonts w:ascii="Times New Roman" w:hAnsi="Times New Roman"/>
          <w:sz w:val="24"/>
          <w:szCs w:val="24"/>
        </w:rPr>
        <w:t xml:space="preserve"> se na </w:t>
      </w:r>
      <w:r w:rsidRPr="00EB5959">
        <w:rPr>
          <w:rFonts w:ascii="Times New Roman" w:eastAsia="Times New Roman" w:hAnsi="Times New Roman" w:cs="Times New Roman"/>
          <w:sz w:val="24"/>
          <w:szCs w:val="24"/>
          <w:lang w:eastAsia="hr-HR"/>
        </w:rPr>
        <w:t>nabavu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glazbenih instrumenata kod </w:t>
      </w:r>
      <w:r w:rsidRPr="00404FA1">
        <w:rPr>
          <w:rFonts w:ascii="Times New Roman" w:eastAsia="Times New Roman" w:hAnsi="Times New Roman" w:cs="Times New Roman"/>
          <w:sz w:val="24"/>
          <w:szCs w:val="24"/>
          <w:lang w:eastAsia="hr-HR"/>
        </w:rPr>
        <w:t>Glazbene škole Vatroslava Lisinskog Bjelovar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626F51D" w14:textId="5807918F" w:rsidR="00D355BF" w:rsidRPr="007C61A7" w:rsidRDefault="00D355BF" w:rsidP="00D355B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lightGray"/>
          <w:lang w:eastAsia="hr-HR"/>
        </w:rPr>
      </w:pPr>
      <w:r w:rsidRPr="009C3BDF">
        <w:rPr>
          <w:rFonts w:ascii="Times New Roman" w:hAnsi="Times New Roman" w:cs="Times New Roman"/>
          <w:b/>
          <w:sz w:val="24"/>
          <w:szCs w:val="24"/>
          <w:lang w:eastAsia="hr-HR"/>
        </w:rPr>
        <w:t>Rashodi za dodatna ulaganja na nefinancijskoj imovini</w:t>
      </w:r>
      <w:r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9843E9" w:rsidRPr="009843E9">
        <w:rPr>
          <w:rFonts w:ascii="Times New Roman" w:hAnsi="Times New Roman" w:cs="Times New Roman"/>
          <w:bCs/>
          <w:sz w:val="24"/>
          <w:szCs w:val="24"/>
          <w:lang w:eastAsia="hr-HR"/>
        </w:rPr>
        <w:t>ostvareni su</w:t>
      </w:r>
      <w:r w:rsidR="009843E9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9843E9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u </w:t>
      </w:r>
      <w:r>
        <w:rPr>
          <w:rFonts w:ascii="Times New Roman" w:hAnsi="Times New Roman" w:cs="Times New Roman"/>
          <w:bCs/>
          <w:sz w:val="24"/>
          <w:szCs w:val="24"/>
          <w:lang w:eastAsia="hr-HR"/>
        </w:rPr>
        <w:t>iznosu od 3.531.764,</w:t>
      </w:r>
      <w:r w:rsidR="009843E9">
        <w:rPr>
          <w:rFonts w:ascii="Times New Roman" w:hAnsi="Times New Roman" w:cs="Times New Roman"/>
          <w:bCs/>
          <w:sz w:val="24"/>
          <w:szCs w:val="24"/>
          <w:lang w:eastAsia="hr-HR"/>
        </w:rPr>
        <w:t>6</w:t>
      </w:r>
      <w:r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7 </w:t>
      </w:r>
      <w:r w:rsidR="009843E9">
        <w:rPr>
          <w:rFonts w:ascii="Times New Roman" w:hAnsi="Times New Roman" w:cs="Times New Roman"/>
          <w:bCs/>
          <w:sz w:val="24"/>
          <w:szCs w:val="24"/>
          <w:lang w:eastAsia="hr-HR"/>
        </w:rPr>
        <w:t>eura što je 259,21 %</w:t>
      </w:r>
      <w:r w:rsidR="00B06AAD">
        <w:rPr>
          <w:rFonts w:ascii="Times New Roman" w:hAnsi="Times New Roman" w:cs="Times New Roman"/>
          <w:bCs/>
          <w:sz w:val="24"/>
          <w:szCs w:val="24"/>
          <w:lang w:eastAsia="hr-HR"/>
        </w:rPr>
        <w:t xml:space="preserve"> više u </w:t>
      </w:r>
      <w:r w:rsidR="00B06AAD" w:rsidRPr="00EB5959">
        <w:rPr>
          <w:rFonts w:ascii="Times New Roman" w:hAnsi="Times New Roman"/>
          <w:bCs/>
          <w:noProof/>
          <w:sz w:val="24"/>
          <w:szCs w:val="24"/>
        </w:rPr>
        <w:t>odnosu na promatrano razdoblje prethodne godine</w:t>
      </w:r>
      <w:r w:rsidR="00B06AAD" w:rsidRPr="00EB5959">
        <w:rPr>
          <w:rFonts w:ascii="Times New Roman" w:hAnsi="Times New Roman"/>
          <w:bCs/>
          <w:iCs/>
          <w:sz w:val="24"/>
          <w:szCs w:val="24"/>
        </w:rPr>
        <w:t xml:space="preserve"> i </w:t>
      </w:r>
      <w:r w:rsidR="00B06AAD">
        <w:rPr>
          <w:rFonts w:ascii="Times New Roman" w:hAnsi="Times New Roman"/>
          <w:bCs/>
          <w:iCs/>
          <w:sz w:val="24"/>
          <w:szCs w:val="24"/>
        </w:rPr>
        <w:t>18,32</w:t>
      </w:r>
      <w:r w:rsidR="00B06AAD" w:rsidRPr="00EB5959">
        <w:rPr>
          <w:rFonts w:ascii="Times New Roman" w:hAnsi="Times New Roman"/>
          <w:bCs/>
          <w:iCs/>
          <w:sz w:val="24"/>
          <w:szCs w:val="24"/>
        </w:rPr>
        <w:t xml:space="preserve"> %</w:t>
      </w:r>
      <w:r w:rsidR="00B06AAD" w:rsidRPr="00EB5959">
        <w:rPr>
          <w:rFonts w:ascii="Times New Roman" w:hAnsi="Times New Roman"/>
          <w:bCs/>
          <w:sz w:val="24"/>
          <w:szCs w:val="24"/>
        </w:rPr>
        <w:t xml:space="preserve"> ostvarenje </w:t>
      </w:r>
      <w:r w:rsidR="00B06AAD" w:rsidRPr="00EB5959">
        <w:rPr>
          <w:rFonts w:ascii="Times New Roman" w:hAnsi="Times New Roman"/>
          <w:bCs/>
          <w:noProof/>
          <w:sz w:val="24"/>
          <w:szCs w:val="24"/>
        </w:rPr>
        <w:t>u ovom obračunskom razdoblju u odnosu na plan, a</w:t>
      </w:r>
      <w:r w:rsidR="00B06AAD" w:rsidRPr="00EB5959">
        <w:rPr>
          <w:rFonts w:ascii="Times New Roman" w:hAnsi="Times New Roman"/>
          <w:sz w:val="24"/>
          <w:szCs w:val="24"/>
        </w:rPr>
        <w:t xml:space="preserve"> </w:t>
      </w:r>
      <w:r w:rsidRPr="009C3BDF">
        <w:rPr>
          <w:rFonts w:ascii="Times New Roman" w:hAnsi="Times New Roman" w:cs="Times New Roman"/>
          <w:sz w:val="24"/>
          <w:szCs w:val="24"/>
          <w:lang w:eastAsia="hr-HR"/>
        </w:rPr>
        <w:t xml:space="preserve">u najvećoj mjeri </w:t>
      </w:r>
      <w:r w:rsidR="00B06AAD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Pr="009C3BDF">
        <w:rPr>
          <w:rFonts w:ascii="Times New Roman" w:hAnsi="Times New Roman" w:cs="Times New Roman"/>
          <w:sz w:val="24"/>
          <w:szCs w:val="24"/>
          <w:lang w:eastAsia="hr-HR"/>
        </w:rPr>
        <w:t>dnose</w:t>
      </w:r>
      <w:r w:rsidR="00B06AAD">
        <w:rPr>
          <w:rFonts w:ascii="Times New Roman" w:hAnsi="Times New Roman" w:cs="Times New Roman"/>
          <w:sz w:val="24"/>
          <w:szCs w:val="24"/>
          <w:lang w:eastAsia="hr-HR"/>
        </w:rPr>
        <w:t xml:space="preserve"> se na </w:t>
      </w:r>
      <w:r w:rsidRPr="009C3BDF">
        <w:rPr>
          <w:rFonts w:ascii="Times New Roman" w:hAnsi="Times New Roman" w:cs="Times New Roman"/>
          <w:sz w:val="24"/>
          <w:szCs w:val="24"/>
          <w:lang w:eastAsia="hr-HR"/>
        </w:rPr>
        <w:t xml:space="preserve"> renovaciju stare Glazbene škole u iznosu od 56.875,00 €, uređenje </w:t>
      </w:r>
      <w:r w:rsidR="00EB2090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9C3BDF">
        <w:rPr>
          <w:rFonts w:ascii="Times New Roman" w:hAnsi="Times New Roman" w:cs="Times New Roman"/>
          <w:sz w:val="24"/>
          <w:szCs w:val="24"/>
          <w:lang w:eastAsia="hr-HR"/>
        </w:rPr>
        <w:t>portskog igrališta „Kukavica“ u iznosu od 89.</w:t>
      </w:r>
      <w:r w:rsidR="005D39B9">
        <w:rPr>
          <w:rFonts w:ascii="Times New Roman" w:hAnsi="Times New Roman" w:cs="Times New Roman"/>
          <w:sz w:val="24"/>
          <w:szCs w:val="24"/>
          <w:lang w:eastAsia="hr-HR"/>
        </w:rPr>
        <w:t>140,21</w:t>
      </w:r>
      <w:r w:rsidRPr="009C3BD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5D39B9">
        <w:rPr>
          <w:rFonts w:ascii="Times New Roman" w:hAnsi="Times New Roman" w:cs="Times New Roman"/>
          <w:sz w:val="24"/>
          <w:szCs w:val="24"/>
          <w:lang w:eastAsia="hr-HR"/>
        </w:rPr>
        <w:t>eura</w:t>
      </w:r>
      <w:r w:rsidRPr="009C3BDF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5D39B9" w:rsidRPr="005D39B9">
        <w:rPr>
          <w:rFonts w:ascii="Times New Roman" w:hAnsi="Times New Roman" w:cs="Times New Roman"/>
          <w:sz w:val="24"/>
          <w:szCs w:val="24"/>
          <w:lang w:eastAsia="hr-HR"/>
        </w:rPr>
        <w:t xml:space="preserve">sanaciju potresom oštećene zgrade PŠ </w:t>
      </w:r>
      <w:proofErr w:type="spellStart"/>
      <w:r w:rsidR="005D39B9" w:rsidRPr="005D39B9">
        <w:rPr>
          <w:rFonts w:ascii="Times New Roman" w:hAnsi="Times New Roman" w:cs="Times New Roman"/>
          <w:sz w:val="24"/>
          <w:szCs w:val="24"/>
          <w:lang w:eastAsia="hr-HR"/>
        </w:rPr>
        <w:t>Palešnik</w:t>
      </w:r>
      <w:proofErr w:type="spellEnd"/>
      <w:r w:rsidRPr="009C3BDF">
        <w:rPr>
          <w:rFonts w:ascii="Times New Roman" w:hAnsi="Times New Roman" w:cs="Times New Roman"/>
          <w:sz w:val="24"/>
          <w:szCs w:val="24"/>
          <w:lang w:eastAsia="hr-HR"/>
        </w:rPr>
        <w:t xml:space="preserve"> u iznosu od 28.539,13 </w:t>
      </w:r>
      <w:r w:rsidR="00315203">
        <w:rPr>
          <w:rFonts w:ascii="Times New Roman" w:hAnsi="Times New Roman" w:cs="Times New Roman"/>
          <w:sz w:val="24"/>
          <w:szCs w:val="24"/>
          <w:lang w:eastAsia="hr-HR"/>
        </w:rPr>
        <w:t>eura</w:t>
      </w:r>
      <w:r w:rsidRPr="009C3BDF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0C4C4A">
        <w:rPr>
          <w:rFonts w:ascii="Times New Roman" w:hAnsi="Times New Roman" w:cs="Times New Roman"/>
          <w:sz w:val="24"/>
          <w:szCs w:val="24"/>
          <w:lang w:eastAsia="hr-HR"/>
        </w:rPr>
        <w:t>izgradnju</w:t>
      </w:r>
      <w:r w:rsidR="00315203">
        <w:rPr>
          <w:rFonts w:ascii="Times New Roman" w:hAnsi="Times New Roman" w:cs="Times New Roman"/>
          <w:sz w:val="24"/>
          <w:szCs w:val="24"/>
          <w:lang w:eastAsia="hr-HR"/>
        </w:rPr>
        <w:t xml:space="preserve"> i opremanje</w:t>
      </w:r>
      <w:r w:rsidRPr="000C4C4A">
        <w:rPr>
          <w:rFonts w:ascii="Times New Roman" w:hAnsi="Times New Roman" w:cs="Times New Roman"/>
          <w:sz w:val="24"/>
          <w:szCs w:val="24"/>
          <w:lang w:eastAsia="hr-HR"/>
        </w:rPr>
        <w:t xml:space="preserve"> dječjeg igrališta </w:t>
      </w:r>
      <w:proofErr w:type="spellStart"/>
      <w:r w:rsidRPr="000C4C4A">
        <w:rPr>
          <w:rFonts w:ascii="Times New Roman" w:hAnsi="Times New Roman" w:cs="Times New Roman"/>
          <w:sz w:val="24"/>
          <w:szCs w:val="24"/>
          <w:lang w:eastAsia="hr-HR"/>
        </w:rPr>
        <w:t>Štefanje</w:t>
      </w:r>
      <w:proofErr w:type="spellEnd"/>
      <w:r w:rsidRPr="000C4C4A">
        <w:rPr>
          <w:rFonts w:ascii="Times New Roman" w:hAnsi="Times New Roman" w:cs="Times New Roman"/>
          <w:sz w:val="24"/>
          <w:szCs w:val="24"/>
          <w:lang w:eastAsia="hr-HR"/>
        </w:rPr>
        <w:t xml:space="preserve"> u iznosu od 100.782,13 </w:t>
      </w:r>
      <w:r w:rsidR="00315203">
        <w:rPr>
          <w:rFonts w:ascii="Times New Roman" w:hAnsi="Times New Roman" w:cs="Times New Roman"/>
          <w:sz w:val="24"/>
          <w:szCs w:val="24"/>
          <w:lang w:eastAsia="hr-HR"/>
        </w:rPr>
        <w:t>eura</w:t>
      </w:r>
      <w:r w:rsidRPr="000C4C4A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E368D1" w:rsidRPr="00E368D1">
        <w:rPr>
          <w:rFonts w:ascii="Times New Roman" w:hAnsi="Times New Roman" w:cs="Times New Roman"/>
          <w:sz w:val="24"/>
          <w:szCs w:val="24"/>
          <w:lang w:eastAsia="hr-HR"/>
        </w:rPr>
        <w:t>3D vizualizaciju i simulaciju te izradu projektne dokumentacije</w:t>
      </w:r>
      <w:r w:rsidR="00E368D1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E368D1" w:rsidRPr="00E368D1">
        <w:rPr>
          <w:rFonts w:ascii="Times New Roman" w:hAnsi="Times New Roman" w:cs="Times New Roman"/>
          <w:sz w:val="24"/>
          <w:szCs w:val="24"/>
          <w:lang w:eastAsia="hr-HR"/>
        </w:rPr>
        <w:t xml:space="preserve">sportske dvorane Gimnazije Bjelovar </w:t>
      </w:r>
      <w:r w:rsidRPr="008A46E5">
        <w:rPr>
          <w:rFonts w:ascii="Times New Roman" w:hAnsi="Times New Roman" w:cs="Times New Roman"/>
          <w:sz w:val="24"/>
          <w:szCs w:val="24"/>
          <w:lang w:eastAsia="hr-HR"/>
        </w:rPr>
        <w:t xml:space="preserve">u iznosu od 35.687,50 </w:t>
      </w:r>
      <w:r w:rsidR="00E368D1">
        <w:rPr>
          <w:rFonts w:ascii="Times New Roman" w:hAnsi="Times New Roman" w:cs="Times New Roman"/>
          <w:sz w:val="24"/>
          <w:szCs w:val="24"/>
          <w:lang w:eastAsia="hr-HR"/>
        </w:rPr>
        <w:t>eura</w:t>
      </w:r>
      <w:r w:rsidRPr="008A46E5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E368D1" w:rsidRPr="00E368D1">
        <w:rPr>
          <w:rFonts w:ascii="Times New Roman" w:hAnsi="Times New Roman" w:cs="Times New Roman"/>
          <w:sz w:val="24"/>
          <w:szCs w:val="24"/>
          <w:lang w:eastAsia="hr-HR"/>
        </w:rPr>
        <w:t xml:space="preserve">uređenje zgrade "Školskog dispanzera" Doma zdravlja </w:t>
      </w:r>
      <w:bookmarkStart w:id="4" w:name="_Hlk207179734"/>
      <w:r w:rsidR="00E368D1" w:rsidRPr="00E368D1">
        <w:rPr>
          <w:rFonts w:ascii="Times New Roman" w:hAnsi="Times New Roman" w:cs="Times New Roman"/>
          <w:sz w:val="24"/>
          <w:szCs w:val="24"/>
          <w:lang w:eastAsia="hr-HR"/>
        </w:rPr>
        <w:t>Bjelovarsko-bilogorske županije</w:t>
      </w:r>
      <w:bookmarkEnd w:id="4"/>
      <w:r w:rsidR="00E368D1">
        <w:rPr>
          <w:rFonts w:ascii="Times New Roman" w:hAnsi="Times New Roman" w:cs="Times New Roman"/>
          <w:sz w:val="24"/>
          <w:szCs w:val="24"/>
          <w:lang w:eastAsia="hr-HR"/>
        </w:rPr>
        <w:t xml:space="preserve"> u Daruvaru</w:t>
      </w:r>
      <w:r w:rsidR="00E368D1" w:rsidRPr="00E368D1">
        <w:rPr>
          <w:rFonts w:ascii="Times New Roman" w:hAnsi="Times New Roman" w:cs="Times New Roman"/>
          <w:sz w:val="24"/>
          <w:szCs w:val="24"/>
          <w:lang w:eastAsia="hr-HR"/>
        </w:rPr>
        <w:t xml:space="preserve"> u </w:t>
      </w:r>
      <w:r w:rsidRPr="008A46E5">
        <w:rPr>
          <w:rFonts w:ascii="Times New Roman" w:hAnsi="Times New Roman" w:cs="Times New Roman"/>
          <w:sz w:val="24"/>
          <w:szCs w:val="24"/>
          <w:lang w:eastAsia="hr-HR"/>
        </w:rPr>
        <w:t xml:space="preserve">iznosu od 38.493,59 </w:t>
      </w:r>
      <w:r w:rsidR="00E368D1">
        <w:rPr>
          <w:rFonts w:ascii="Times New Roman" w:hAnsi="Times New Roman" w:cs="Times New Roman"/>
          <w:sz w:val="24"/>
          <w:szCs w:val="24"/>
          <w:lang w:eastAsia="hr-HR"/>
        </w:rPr>
        <w:t>eura</w:t>
      </w:r>
      <w:r>
        <w:rPr>
          <w:rFonts w:ascii="Times New Roman" w:hAnsi="Times New Roman" w:cs="Times New Roman"/>
          <w:sz w:val="24"/>
          <w:szCs w:val="24"/>
          <w:lang w:eastAsia="hr-HR"/>
        </w:rPr>
        <w:t>, adaptacij</w:t>
      </w:r>
      <w:r w:rsidR="00E368D1">
        <w:rPr>
          <w:rFonts w:ascii="Times New Roman" w:hAnsi="Times New Roman" w:cs="Times New Roman"/>
          <w:sz w:val="24"/>
          <w:szCs w:val="24"/>
          <w:lang w:eastAsia="hr-HR"/>
        </w:rPr>
        <w:t>u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prostora ambulanti Doma zdravlja u Siraču u iznosu od 20.675,25 </w:t>
      </w:r>
      <w:r w:rsidR="00E368D1">
        <w:rPr>
          <w:rFonts w:ascii="Times New Roman" w:hAnsi="Times New Roman" w:cs="Times New Roman"/>
          <w:sz w:val="24"/>
          <w:szCs w:val="24"/>
          <w:lang w:eastAsia="hr-HR"/>
        </w:rPr>
        <w:t>eura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, uređenje prostora RTG-a </w:t>
      </w:r>
      <w:r w:rsidR="00E368D1" w:rsidRPr="00E368D1">
        <w:rPr>
          <w:rFonts w:ascii="Times New Roman" w:eastAsia="Times New Roman" w:hAnsi="Times New Roman" w:cs="Times New Roman"/>
          <w:kern w:val="2"/>
          <w:sz w:val="24"/>
          <w:szCs w:val="24"/>
          <w:lang w:eastAsia="hr-HR"/>
          <w14:ligatures w14:val="standardContextual"/>
        </w:rPr>
        <w:t>Doma zdravlja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3A4894" w:rsidRPr="00E368D1">
        <w:rPr>
          <w:rFonts w:ascii="Times New Roman" w:hAnsi="Times New Roman" w:cs="Times New Roman"/>
          <w:sz w:val="24"/>
          <w:szCs w:val="24"/>
          <w:lang w:eastAsia="hr-HR"/>
        </w:rPr>
        <w:t>Bjelovarsko-bilogorske županije</w:t>
      </w:r>
      <w:r w:rsidR="003A4894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u Garešnici u iznosu od 25.765,78 </w:t>
      </w:r>
      <w:r w:rsidR="003A4894">
        <w:rPr>
          <w:rFonts w:ascii="Times New Roman" w:hAnsi="Times New Roman" w:cs="Times New Roman"/>
          <w:sz w:val="24"/>
          <w:szCs w:val="24"/>
          <w:lang w:eastAsia="hr-HR"/>
        </w:rPr>
        <w:t>eura</w:t>
      </w:r>
      <w:r w:rsidR="00CD184E">
        <w:rPr>
          <w:rFonts w:ascii="Times New Roman" w:hAnsi="Times New Roman" w:cs="Times New Roman"/>
          <w:sz w:val="24"/>
          <w:szCs w:val="24"/>
          <w:lang w:eastAsia="hr-HR"/>
        </w:rPr>
        <w:t xml:space="preserve">. Kod proračunskih korisnika najveće ostvarenje prikazano je kod Tehničke škole Bjelovar za </w:t>
      </w:r>
      <w:r w:rsidR="00CD184E" w:rsidRPr="00CD184E">
        <w:rPr>
          <w:rFonts w:ascii="Times New Roman" w:hAnsi="Times New Roman" w:cs="Times New Roman"/>
          <w:sz w:val="24"/>
          <w:szCs w:val="24"/>
          <w:lang w:eastAsia="hr-HR"/>
        </w:rPr>
        <w:t>energetsku obnovu škole</w:t>
      </w:r>
      <w:r w:rsidR="00CD184E">
        <w:rPr>
          <w:rFonts w:ascii="Times New Roman" w:hAnsi="Times New Roman" w:cs="Times New Roman"/>
          <w:sz w:val="24"/>
          <w:szCs w:val="24"/>
          <w:lang w:eastAsia="hr-HR"/>
        </w:rPr>
        <w:t xml:space="preserve"> u iznosu od 516.057,64 eura i </w:t>
      </w:r>
      <w:r w:rsidR="00CD184E" w:rsidRPr="00CD184E">
        <w:rPr>
          <w:rFonts w:ascii="Times New Roman" w:hAnsi="Times New Roman" w:cs="Times New Roman"/>
          <w:sz w:val="24"/>
          <w:szCs w:val="24"/>
          <w:lang w:eastAsia="hr-HR"/>
        </w:rPr>
        <w:t>Glazbene škole Vatroslava Lisinskog Bjelovar</w:t>
      </w:r>
      <w:r w:rsidR="00CD184E">
        <w:rPr>
          <w:rFonts w:ascii="Times New Roman" w:hAnsi="Times New Roman" w:cs="Times New Roman"/>
          <w:sz w:val="24"/>
          <w:szCs w:val="24"/>
          <w:lang w:eastAsia="hr-HR"/>
        </w:rPr>
        <w:t xml:space="preserve"> za opremanje u iznosu od 46.610,63 eura.</w:t>
      </w:r>
    </w:p>
    <w:p w14:paraId="220802F6" w14:textId="6F960E65" w:rsidR="000B54BC" w:rsidRDefault="000B54BC" w:rsidP="00D355BF">
      <w:pPr>
        <w:tabs>
          <w:tab w:val="left" w:pos="709"/>
          <w:tab w:val="center" w:pos="6663"/>
        </w:tabs>
        <w:spacing w:line="360" w:lineRule="auto"/>
        <w:jc w:val="both"/>
        <w:rPr>
          <w:rFonts w:ascii="Times New Roman" w:hAnsi="Times New Roman"/>
          <w:b/>
          <w:color w:val="000000"/>
          <w:sz w:val="22"/>
          <w:szCs w:val="22"/>
          <w:shd w:val="clear" w:color="auto" w:fill="FFFFFF"/>
        </w:rPr>
      </w:pPr>
    </w:p>
    <w:p w14:paraId="28666CF0" w14:textId="77777777" w:rsidR="008A00E8" w:rsidRPr="002521ED" w:rsidRDefault="008A00E8" w:rsidP="0078277B">
      <w:pPr>
        <w:spacing w:line="276" w:lineRule="auto"/>
        <w:jc w:val="center"/>
        <w:rPr>
          <w:rFonts w:ascii="Times New Roman" w:hAnsi="Times New Roman"/>
          <w:b/>
          <w:color w:val="000000"/>
          <w:sz w:val="22"/>
          <w:szCs w:val="22"/>
          <w:shd w:val="clear" w:color="auto" w:fill="FFFFFF"/>
        </w:rPr>
      </w:pPr>
      <w:r w:rsidRPr="002521ED">
        <w:rPr>
          <w:rFonts w:ascii="Times New Roman" w:hAnsi="Times New Roman"/>
          <w:b/>
          <w:color w:val="000000"/>
          <w:sz w:val="22"/>
          <w:szCs w:val="22"/>
          <w:shd w:val="clear" w:color="auto" w:fill="FFFFFF"/>
        </w:rPr>
        <w:t>IZVJEŠTAJ O PRIHODIMA I RASHODIMA PREMA IZVORIMA FINANCIRANJA</w:t>
      </w:r>
    </w:p>
    <w:p w14:paraId="7C6DF74B" w14:textId="77777777" w:rsidR="008A00E8" w:rsidRPr="002521ED" w:rsidRDefault="008A00E8" w:rsidP="008E34C6">
      <w:pPr>
        <w:spacing w:line="276" w:lineRule="auto"/>
        <w:ind w:firstLine="708"/>
        <w:jc w:val="both"/>
        <w:rPr>
          <w:rFonts w:ascii="Times New Roman" w:hAnsi="Times New Roman"/>
          <w:b/>
          <w:szCs w:val="24"/>
          <w:highlight w:val="lightGray"/>
        </w:rPr>
      </w:pPr>
    </w:p>
    <w:p w14:paraId="31D93BD2" w14:textId="225B752F" w:rsidR="00D452C9" w:rsidRPr="003501DF" w:rsidRDefault="00D452C9" w:rsidP="003501DF">
      <w:pPr>
        <w:pStyle w:val="NoSpacing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01DF">
        <w:rPr>
          <w:rFonts w:ascii="Times New Roman" w:eastAsia="Times New Roman" w:hAnsi="Times New Roman" w:cs="Times New Roman"/>
          <w:sz w:val="24"/>
          <w:szCs w:val="24"/>
          <w:lang w:eastAsia="hr-HR"/>
        </w:rPr>
        <w:t>Izvore financiranja čine skupine prihoda i primitaka iz kojih se podmiruju rashodi i izdaci za određene vrste i utvrđene namjene.</w:t>
      </w:r>
    </w:p>
    <w:p w14:paraId="2EB3DC37" w14:textId="77777777" w:rsidR="003501DF" w:rsidRPr="003501DF" w:rsidRDefault="003501DF" w:rsidP="003501DF">
      <w:pPr>
        <w:pStyle w:val="NoSpacing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030DA3" w14:textId="52B91B5C" w:rsidR="00953F40" w:rsidRPr="003501DF" w:rsidRDefault="00953F40" w:rsidP="003501DF">
      <w:pPr>
        <w:pStyle w:val="NoSpacing"/>
        <w:spacing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5" w:name="_Hlk207182416"/>
      <w:r w:rsidRPr="003501DF">
        <w:rPr>
          <w:rFonts w:ascii="Times New Roman" w:hAnsi="Times New Roman"/>
          <w:b/>
          <w:iCs/>
          <w:sz w:val="24"/>
          <w:szCs w:val="24"/>
        </w:rPr>
        <w:t>Ukupni prihodi</w:t>
      </w:r>
      <w:r w:rsidRPr="003501DF">
        <w:rPr>
          <w:rFonts w:ascii="Times New Roman" w:hAnsi="Times New Roman"/>
          <w:bCs/>
          <w:iCs/>
          <w:sz w:val="24"/>
          <w:szCs w:val="24"/>
        </w:rPr>
        <w:t xml:space="preserve"> ostvareni su u razdoblju od 01.01. do 30.06.2025. godine u iznosu od </w:t>
      </w:r>
      <w:r w:rsidR="003501DF" w:rsidRPr="003501DF">
        <w:rPr>
          <w:rFonts w:ascii="Times New Roman" w:hAnsi="Times New Roman"/>
          <w:bCs/>
          <w:iCs/>
          <w:sz w:val="24"/>
          <w:szCs w:val="24"/>
        </w:rPr>
        <w:t>54.093.258,57 eura što je 11,91 % više u odnosu na promatrano razdoblje prethodne godine i 44,34 % ostvarenje u ovom obračunskom razdoblju u odnosu na plan te su raspoređeni prema izvorima financiranja u izvještaju.</w:t>
      </w:r>
      <w:bookmarkEnd w:id="5"/>
    </w:p>
    <w:p w14:paraId="2E52DBBA" w14:textId="77777777" w:rsidR="00D452C9" w:rsidRPr="00A34B26" w:rsidRDefault="00D452C9" w:rsidP="00D452C9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01DF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Izvor 11 Opći prihodi i primici</w:t>
      </w:r>
      <w:r w:rsidRPr="00A34B2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ostvaren 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13,41 </w:t>
      </w:r>
      <w:r w:rsidRPr="00A34B26">
        <w:rPr>
          <w:rFonts w:ascii="Times New Roman" w:eastAsia="Times New Roman" w:hAnsi="Times New Roman" w:cs="Times New Roman"/>
          <w:sz w:val="24"/>
          <w:szCs w:val="24"/>
          <w:lang w:eastAsia="hr-HR"/>
        </w:rPr>
        <w:t>% više u odnosu na isto razdoblje prošle godine zbog bolje naplate poreza na dohodak.</w:t>
      </w:r>
    </w:p>
    <w:p w14:paraId="3BC44AA8" w14:textId="0D43626D" w:rsidR="00D452C9" w:rsidRPr="007C61A7" w:rsidRDefault="00D452C9" w:rsidP="00D452C9">
      <w:pPr>
        <w:pStyle w:val="NoSpacing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hr-HR"/>
        </w:rPr>
      </w:pPr>
      <w:r w:rsidRPr="00AB215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Izvor 15 Administrativne (upravne) pristojbe</w:t>
      </w:r>
      <w:r w:rsidR="003501D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odnosu na isto razdoblje prošle godine povećane su za 27,44 % zbog bolje naplate županijskih naknada i prihoda od prodaje državnih biljega. </w:t>
      </w:r>
    </w:p>
    <w:p w14:paraId="7470F1EF" w14:textId="25824F37" w:rsidR="00D452C9" w:rsidRDefault="00D452C9" w:rsidP="00D452C9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54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Izvor 45 Prihodi za posebne namjene – korisnici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povećan je u odnosu na isto razdoblje prošle godine</w:t>
      </w:r>
      <w:r w:rsidR="006232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23,45 %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razloga veće naplate prihoda po posebnim propisima koje su u najvećem iznosu ostvarili korisnici u </w:t>
      </w:r>
      <w:r w:rsidR="006232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školstvu 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zdravstvu.</w:t>
      </w:r>
    </w:p>
    <w:p w14:paraId="2BFE5509" w14:textId="2E27E4B1" w:rsidR="00D452C9" w:rsidRPr="00B70417" w:rsidRDefault="00D452C9" w:rsidP="00D452C9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Izvor 47 Povjereni poslovi državne uprave u odnosu na </w:t>
      </w:r>
      <w:r w:rsidR="0062329B">
        <w:rPr>
          <w:rFonts w:ascii="Times New Roman" w:eastAsia="Times New Roman" w:hAnsi="Times New Roman" w:cs="Times New Roman"/>
          <w:sz w:val="24"/>
          <w:szCs w:val="24"/>
          <w:lang w:eastAsia="hr-HR"/>
        </w:rPr>
        <w:t>isto razdoblje prošle godine bilježi povećanje ostvarenja u odnosu na promatrano razdoblje prošle godine, 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odnosi se na naknadu za provođenje troškova postupka izvlaštenja. </w:t>
      </w:r>
    </w:p>
    <w:p w14:paraId="4531C85C" w14:textId="3043365B" w:rsidR="00D452C9" w:rsidRDefault="00D452C9" w:rsidP="00D36E19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55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Izvor 53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pomoći </w:t>
      </w:r>
      <w:r w:rsidR="0062329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bilježi ostvarenje za </w:t>
      </w:r>
      <w:r w:rsidR="000A4DB6">
        <w:rPr>
          <w:rFonts w:ascii="Times New Roman" w:eastAsia="Times New Roman" w:hAnsi="Times New Roman" w:cs="Times New Roman"/>
          <w:sz w:val="24"/>
          <w:szCs w:val="24"/>
          <w:lang w:eastAsia="hr-HR"/>
        </w:rPr>
        <w:t>33,85 % više u odnosu na promatrano razdoblje prošle godine, 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odnosi se na sufinanciranje „Hrvatskih voda“ za izradu projektne dokumentacije.</w:t>
      </w:r>
    </w:p>
    <w:p w14:paraId="2CDA3DC2" w14:textId="77777777" w:rsidR="00D36E19" w:rsidRPr="00D36E19" w:rsidRDefault="00D36E19" w:rsidP="00D36E19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EE170B" w14:textId="77777777" w:rsidR="00456EE5" w:rsidRDefault="00456EE5" w:rsidP="00D452C9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r w:rsidRPr="003501DF">
        <w:rPr>
          <w:rFonts w:ascii="Times New Roman" w:hAnsi="Times New Roman"/>
          <w:b/>
          <w:iCs/>
          <w:sz w:val="24"/>
          <w:szCs w:val="24"/>
        </w:rPr>
        <w:t xml:space="preserve">Ukupni </w:t>
      </w:r>
      <w:r>
        <w:rPr>
          <w:rFonts w:ascii="Times New Roman" w:hAnsi="Times New Roman"/>
          <w:b/>
          <w:iCs/>
          <w:sz w:val="24"/>
          <w:szCs w:val="24"/>
        </w:rPr>
        <w:t>rashodi</w:t>
      </w:r>
      <w:r w:rsidRPr="003501DF">
        <w:rPr>
          <w:rFonts w:ascii="Times New Roman" w:hAnsi="Times New Roman"/>
          <w:bCs/>
          <w:iCs/>
          <w:sz w:val="24"/>
          <w:szCs w:val="24"/>
        </w:rPr>
        <w:t xml:space="preserve"> ostvareni su u razdoblju od 01.01. do 30.06.2025. godine u iznosu od </w:t>
      </w:r>
      <w:r>
        <w:rPr>
          <w:rFonts w:ascii="Times New Roman" w:hAnsi="Times New Roman"/>
          <w:bCs/>
          <w:iCs/>
          <w:sz w:val="24"/>
          <w:szCs w:val="24"/>
        </w:rPr>
        <w:t>60.393.472,69</w:t>
      </w:r>
      <w:r w:rsidRPr="003501DF">
        <w:rPr>
          <w:rFonts w:ascii="Times New Roman" w:hAnsi="Times New Roman"/>
          <w:bCs/>
          <w:iCs/>
          <w:sz w:val="24"/>
          <w:szCs w:val="24"/>
        </w:rPr>
        <w:t xml:space="preserve"> eura što je </w:t>
      </w:r>
      <w:r>
        <w:rPr>
          <w:rFonts w:ascii="Times New Roman" w:hAnsi="Times New Roman"/>
          <w:bCs/>
          <w:iCs/>
          <w:sz w:val="24"/>
          <w:szCs w:val="24"/>
        </w:rPr>
        <w:t>25,57</w:t>
      </w:r>
      <w:r w:rsidRPr="003501DF">
        <w:rPr>
          <w:rFonts w:ascii="Times New Roman" w:hAnsi="Times New Roman"/>
          <w:bCs/>
          <w:iCs/>
          <w:sz w:val="24"/>
          <w:szCs w:val="24"/>
        </w:rPr>
        <w:t xml:space="preserve"> % više u odnosu na promatrano razdoblje prethodne godine i </w:t>
      </w:r>
      <w:r>
        <w:rPr>
          <w:rFonts w:ascii="Times New Roman" w:hAnsi="Times New Roman"/>
          <w:bCs/>
          <w:iCs/>
          <w:sz w:val="24"/>
          <w:szCs w:val="24"/>
        </w:rPr>
        <w:t>47,66</w:t>
      </w:r>
      <w:r w:rsidRPr="003501DF">
        <w:rPr>
          <w:rFonts w:ascii="Times New Roman" w:hAnsi="Times New Roman"/>
          <w:bCs/>
          <w:iCs/>
          <w:sz w:val="24"/>
          <w:szCs w:val="24"/>
        </w:rPr>
        <w:t xml:space="preserve"> % ostvarenje u ovom obračunskom razdoblju u odnosu na plan te su raspoređeni prema izvorima financiranja u izvještaju.</w:t>
      </w:r>
    </w:p>
    <w:p w14:paraId="2B59A015" w14:textId="54025E47" w:rsidR="00D452C9" w:rsidRDefault="00D452C9" w:rsidP="00D452C9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4475">
        <w:rPr>
          <w:rFonts w:ascii="Times New Roman" w:eastAsia="Times New Roman" w:hAnsi="Times New Roman" w:cs="Times New Roman"/>
          <w:sz w:val="24"/>
          <w:szCs w:val="24"/>
          <w:lang w:eastAsia="hr-HR"/>
        </w:rPr>
        <w:t>Iz izvora 11 financiraju se sve redovne aktivnosti upravnih odjela. Povećanje</w:t>
      </w:r>
      <w:r w:rsidR="00456E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810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ostvarenja </w:t>
      </w:r>
      <w:r w:rsidR="00456EE5">
        <w:rPr>
          <w:rFonts w:ascii="Times New Roman" w:eastAsia="Times New Roman" w:hAnsi="Times New Roman" w:cs="Times New Roman"/>
          <w:sz w:val="24"/>
          <w:szCs w:val="24"/>
          <w:lang w:eastAsia="hr-HR"/>
        </w:rPr>
        <w:t>za 63,91 %</w:t>
      </w:r>
      <w:r w:rsidRPr="007544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odnosu na </w:t>
      </w:r>
      <w:r w:rsidR="00581053" w:rsidRPr="00581053">
        <w:rPr>
          <w:rFonts w:ascii="Times New Roman" w:eastAsia="Times New Roman" w:hAnsi="Times New Roman" w:cs="Times New Roman"/>
          <w:sz w:val="24"/>
          <w:szCs w:val="24"/>
          <w:lang w:eastAsia="hr-HR"/>
        </w:rPr>
        <w:t>promatrano razdoblje prethodne godine</w:t>
      </w:r>
      <w:r w:rsidRPr="007544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>odnosi se na donacije Vatrogasnoj zajednici, Hrvatsk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gorsk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služb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spašavanja, nacionalnim manjinama,</w:t>
      </w:r>
      <w:r w:rsidR="00456E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</w:t>
      </w:r>
      <w:r w:rsidR="00456EE5">
        <w:rPr>
          <w:rFonts w:ascii="Times New Roman" w:eastAsia="Times New Roman" w:hAnsi="Times New Roman" w:cs="Times New Roman"/>
          <w:sz w:val="24"/>
          <w:szCs w:val="24"/>
          <w:lang w:eastAsia="hr-HR"/>
        </w:rPr>
        <w:t>ima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projekt uvođenja i održavanja uredskog poslovanja – digitalizacij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poticanja razvoja turizma, financiranja programa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razvoja 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>malog</w:t>
      </w:r>
      <w:r w:rsidR="008A4C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>srednjeg poduzetništva i obrtništva, javnu uslugu prijevoza, sufinanciranje prijevoza učenika osnovnih škola</w:t>
      </w:r>
      <w:r w:rsidR="008A4C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srednjih škola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8A4C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troškova vezanih uz 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>dogradnj</w:t>
      </w:r>
      <w:r w:rsidR="008A4C4A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školsko</w:t>
      </w:r>
      <w:r w:rsidR="008A4C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A4C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>sportske dv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>rane Gimnazije Bjelovar</w:t>
      </w:r>
      <w:r w:rsidR="008A4C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A4C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javne pozive za 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potrebe u sportu </w:t>
      </w:r>
      <w:r w:rsidR="008A4C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5940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kulturi i sl. </w:t>
      </w:r>
    </w:p>
    <w:p w14:paraId="285F174D" w14:textId="33F3976E" w:rsidR="00D452C9" w:rsidRDefault="00D452C9" w:rsidP="00D452C9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 izvora 14 Prihodi od nefinancijske imovine financirani su projekti poput renovacije stare Glazbene škole, razvoj sustava lokalne riznice, povećane isplate sredstava za rad udruga </w:t>
      </w:r>
      <w:r w:rsidR="008A4C4A" w:rsidRPr="00E368D1">
        <w:rPr>
          <w:rFonts w:ascii="Times New Roman" w:hAnsi="Times New Roman" w:cs="Times New Roman"/>
          <w:sz w:val="24"/>
          <w:szCs w:val="24"/>
          <w:lang w:eastAsia="hr-HR"/>
        </w:rPr>
        <w:t>Bjelovarsko-bilogorske županije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potpore udrugama u poljoprivredi, programa razvoja lovstva i šumarstva</w:t>
      </w:r>
      <w:r w:rsidR="00B80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projekata u školstvu i sl. </w:t>
      </w:r>
      <w:r w:rsidR="00B80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Ostvarenje na navedenom izvoru je </w:t>
      </w:r>
      <w:r w:rsidR="009C168E">
        <w:rPr>
          <w:rFonts w:ascii="Times New Roman" w:eastAsia="Times New Roman" w:hAnsi="Times New Roman" w:cs="Times New Roman"/>
          <w:sz w:val="24"/>
          <w:szCs w:val="24"/>
          <w:lang w:eastAsia="hr-HR"/>
        </w:rPr>
        <w:t>78,31</w:t>
      </w:r>
      <w:r w:rsidR="00B80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% </w:t>
      </w:r>
      <w:r w:rsidR="009C168E">
        <w:rPr>
          <w:rFonts w:ascii="Times New Roman" w:eastAsia="Times New Roman" w:hAnsi="Times New Roman" w:cs="Times New Roman"/>
          <w:sz w:val="24"/>
          <w:szCs w:val="24"/>
          <w:lang w:eastAsia="hr-HR"/>
        </w:rPr>
        <w:t>više</w:t>
      </w:r>
      <w:r w:rsidR="00B80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odnosu na promatrano razdoblje prošle godine.</w:t>
      </w:r>
    </w:p>
    <w:p w14:paraId="630DBE5C" w14:textId="76FCE369" w:rsidR="00D452C9" w:rsidRDefault="00D452C9" w:rsidP="00D452C9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 izvora 41 Prihodi za provođenje legalizacije nezakonito izgrađenih zgrada korišteni su za naknade stručnim povjerenstvima za izvršene tehničke preglede na zgradama, vrtićima i sl.</w:t>
      </w:r>
      <w:r w:rsidR="00B80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redovno održavanje </w:t>
      </w:r>
      <w:proofErr w:type="spellStart"/>
      <w:r w:rsidR="00B80E9C">
        <w:rPr>
          <w:rFonts w:ascii="Times New Roman" w:eastAsia="Times New Roman" w:hAnsi="Times New Roman" w:cs="Times New Roman"/>
          <w:sz w:val="24"/>
          <w:szCs w:val="24"/>
          <w:lang w:eastAsia="hr-HR"/>
        </w:rPr>
        <w:t>geoportala</w:t>
      </w:r>
      <w:proofErr w:type="spellEnd"/>
      <w:r w:rsidR="00B80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Bjelovarsko-bilogorske županije, a ostvarenje je </w:t>
      </w:r>
      <w:r w:rsidR="009C168E">
        <w:rPr>
          <w:rFonts w:ascii="Times New Roman" w:eastAsia="Times New Roman" w:hAnsi="Times New Roman" w:cs="Times New Roman"/>
          <w:sz w:val="24"/>
          <w:szCs w:val="24"/>
          <w:lang w:eastAsia="hr-HR"/>
        </w:rPr>
        <w:t>182,85</w:t>
      </w:r>
      <w:r w:rsidR="00B80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% </w:t>
      </w:r>
      <w:r w:rsidR="009C168E">
        <w:rPr>
          <w:rFonts w:ascii="Times New Roman" w:eastAsia="Times New Roman" w:hAnsi="Times New Roman" w:cs="Times New Roman"/>
          <w:sz w:val="24"/>
          <w:szCs w:val="24"/>
          <w:lang w:eastAsia="hr-HR"/>
        </w:rPr>
        <w:t>više</w:t>
      </w:r>
      <w:r w:rsidR="00B80E9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odnosu na promatrano razdoblje prošle godine.</w:t>
      </w:r>
    </w:p>
    <w:p w14:paraId="3A2509BF" w14:textId="6B1AE085" w:rsidR="00F77003" w:rsidRPr="007E54D3" w:rsidRDefault="00D452C9" w:rsidP="007E54D3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 izvora 47 Povjereni poslovi državne uprave financirani su rashodi za troškove izvršenih usluga izrade elaborata procjene tržišne vrijednosti nekretnina</w:t>
      </w:r>
      <w:r w:rsidR="005810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rada povjerenstva za utvrđivanje minimalnih tehničkih uvjeta, a ostvarenje bilježi znatno povećanje u odnosu na </w:t>
      </w:r>
      <w:r w:rsidR="00581053" w:rsidRPr="00581053">
        <w:rPr>
          <w:rFonts w:ascii="Times New Roman" w:eastAsia="Times New Roman" w:hAnsi="Times New Roman" w:cs="Times New Roman"/>
          <w:sz w:val="24"/>
          <w:szCs w:val="24"/>
          <w:lang w:eastAsia="hr-HR"/>
        </w:rPr>
        <w:t>promatrano razdoblje prethodne godine</w:t>
      </w:r>
      <w:r w:rsidR="0058105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9F3B3D0" w14:textId="77777777" w:rsidR="008E601D" w:rsidRDefault="008E601D" w:rsidP="00DA769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</w:p>
    <w:p w14:paraId="7613A7EA" w14:textId="77777777" w:rsidR="00931C69" w:rsidRDefault="00931C69" w:rsidP="00DA769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</w:p>
    <w:p w14:paraId="6DC4A10E" w14:textId="77777777" w:rsidR="00931C69" w:rsidRDefault="00931C69" w:rsidP="00DA769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</w:p>
    <w:p w14:paraId="25307627" w14:textId="77777777" w:rsidR="00931C69" w:rsidRDefault="00931C69" w:rsidP="00DA769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</w:p>
    <w:p w14:paraId="5545FAB8" w14:textId="77777777" w:rsidR="00DA7697" w:rsidRPr="00612A25" w:rsidRDefault="00DA7697" w:rsidP="00DA7697">
      <w:pPr>
        <w:spacing w:line="276" w:lineRule="auto"/>
        <w:ind w:firstLine="708"/>
        <w:jc w:val="center"/>
        <w:rPr>
          <w:rFonts w:ascii="Times New Roman" w:hAnsi="Times New Roman"/>
          <w:b/>
          <w:sz w:val="22"/>
          <w:szCs w:val="22"/>
        </w:rPr>
      </w:pPr>
      <w:r w:rsidRPr="00612A25">
        <w:rPr>
          <w:rFonts w:ascii="Times New Roman" w:hAnsi="Times New Roman"/>
          <w:b/>
          <w:sz w:val="22"/>
          <w:szCs w:val="22"/>
        </w:rPr>
        <w:lastRenderedPageBreak/>
        <w:t>IZVJEŠTAJ O RASHODIMA PREMA FUNKCIJSKOJ  KLASIFIKACIJI</w:t>
      </w:r>
    </w:p>
    <w:p w14:paraId="78B03B9C" w14:textId="77777777" w:rsidR="00DA7697" w:rsidRPr="00612A25" w:rsidRDefault="00DA7697" w:rsidP="00DA7697">
      <w:pPr>
        <w:spacing w:line="276" w:lineRule="auto"/>
        <w:ind w:firstLine="708"/>
        <w:jc w:val="center"/>
        <w:rPr>
          <w:rFonts w:ascii="Times New Roman" w:hAnsi="Times New Roman"/>
          <w:b/>
          <w:szCs w:val="24"/>
        </w:rPr>
      </w:pPr>
    </w:p>
    <w:p w14:paraId="6D4206AB" w14:textId="1D17545D" w:rsidR="00284DFC" w:rsidRDefault="00284DFC" w:rsidP="00284DFC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2A5266">
        <w:rPr>
          <w:rFonts w:ascii="Times New Roman" w:hAnsi="Times New Roman"/>
          <w:b/>
          <w:szCs w:val="24"/>
        </w:rPr>
        <w:t>Funkcija 0</w:t>
      </w:r>
      <w:r>
        <w:rPr>
          <w:rFonts w:ascii="Times New Roman" w:hAnsi="Times New Roman"/>
          <w:b/>
          <w:szCs w:val="24"/>
        </w:rPr>
        <w:t>6</w:t>
      </w:r>
      <w:r w:rsidRPr="002A5266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Usluge unapređenja stanovanja i zajednice </w:t>
      </w:r>
      <w:r w:rsidRPr="002A5266">
        <w:rPr>
          <w:rFonts w:ascii="Times New Roman" w:hAnsi="Times New Roman"/>
          <w:b/>
          <w:szCs w:val="24"/>
        </w:rPr>
        <w:t xml:space="preserve"> </w:t>
      </w:r>
      <w:r w:rsidRPr="002A5266">
        <w:rPr>
          <w:rFonts w:ascii="Times New Roman" w:hAnsi="Times New Roman"/>
          <w:szCs w:val="24"/>
        </w:rPr>
        <w:t>u odnosu na promatrano razdoblje pr</w:t>
      </w:r>
      <w:r>
        <w:rPr>
          <w:rFonts w:ascii="Times New Roman" w:hAnsi="Times New Roman"/>
          <w:szCs w:val="24"/>
        </w:rPr>
        <w:t>ethodne</w:t>
      </w:r>
      <w:r w:rsidRPr="002A5266">
        <w:rPr>
          <w:rFonts w:ascii="Times New Roman" w:hAnsi="Times New Roman"/>
          <w:szCs w:val="24"/>
        </w:rPr>
        <w:t xml:space="preserve"> godine </w:t>
      </w:r>
      <w:r w:rsidR="000266FB">
        <w:rPr>
          <w:rFonts w:ascii="Times New Roman" w:hAnsi="Times New Roman"/>
          <w:szCs w:val="24"/>
        </w:rPr>
        <w:t xml:space="preserve">bilježe </w:t>
      </w:r>
      <w:r w:rsidRPr="002A5266">
        <w:rPr>
          <w:rFonts w:ascii="Times New Roman" w:hAnsi="Times New Roman"/>
          <w:szCs w:val="24"/>
        </w:rPr>
        <w:t>povećan</w:t>
      </w:r>
      <w:r w:rsidR="000266FB">
        <w:rPr>
          <w:rFonts w:ascii="Times New Roman" w:hAnsi="Times New Roman"/>
          <w:szCs w:val="24"/>
        </w:rPr>
        <w:t>j</w:t>
      </w:r>
      <w:r w:rsidRPr="002A5266">
        <w:rPr>
          <w:rFonts w:ascii="Times New Roman" w:hAnsi="Times New Roman"/>
          <w:szCs w:val="24"/>
        </w:rPr>
        <w:t xml:space="preserve">e zbog </w:t>
      </w:r>
      <w:r>
        <w:rPr>
          <w:rFonts w:ascii="Times New Roman" w:hAnsi="Times New Roman"/>
          <w:szCs w:val="24"/>
        </w:rPr>
        <w:t xml:space="preserve">povećanih rashoda monitoringa vode za piće, većih izdvajanja za troškove povjerenstava tehničkih pregleda, </w:t>
      </w:r>
      <w:r w:rsidR="00D72A82" w:rsidRPr="00AB6130">
        <w:rPr>
          <w:rFonts w:ascii="Times New Roman" w:hAnsi="Times New Roman"/>
          <w:szCs w:val="24"/>
        </w:rPr>
        <w:t>sufinanciranj</w:t>
      </w:r>
      <w:r w:rsidR="00D72A82">
        <w:rPr>
          <w:rFonts w:ascii="Times New Roman" w:hAnsi="Times New Roman"/>
          <w:szCs w:val="24"/>
        </w:rPr>
        <w:t>a</w:t>
      </w:r>
      <w:r w:rsidR="00D72A82" w:rsidRPr="00AB6130">
        <w:rPr>
          <w:rFonts w:ascii="Times New Roman" w:hAnsi="Times New Roman"/>
          <w:szCs w:val="24"/>
        </w:rPr>
        <w:t xml:space="preserve"> </w:t>
      </w:r>
      <w:r w:rsidR="00D72A82">
        <w:rPr>
          <w:rFonts w:ascii="Times New Roman" w:hAnsi="Times New Roman"/>
          <w:szCs w:val="24"/>
        </w:rPr>
        <w:t>troškova obnove vanjske</w:t>
      </w:r>
      <w:r w:rsidR="00D72A82" w:rsidRPr="00AB6130">
        <w:rPr>
          <w:rFonts w:ascii="Times New Roman" w:hAnsi="Times New Roman"/>
          <w:szCs w:val="24"/>
        </w:rPr>
        <w:t xml:space="preserve"> ovojnice</w:t>
      </w:r>
      <w:r w:rsidR="00D72A82">
        <w:rPr>
          <w:rFonts w:ascii="Times New Roman" w:hAnsi="Times New Roman"/>
          <w:szCs w:val="24"/>
        </w:rPr>
        <w:t xml:space="preserve"> dijela poslovne</w:t>
      </w:r>
      <w:r w:rsidR="00D72A82" w:rsidRPr="00AB6130">
        <w:rPr>
          <w:rFonts w:ascii="Times New Roman" w:hAnsi="Times New Roman"/>
          <w:szCs w:val="24"/>
        </w:rPr>
        <w:t xml:space="preserve"> zgrade </w:t>
      </w:r>
      <w:r w:rsidR="00D72A82">
        <w:rPr>
          <w:rFonts w:ascii="Times New Roman" w:hAnsi="Times New Roman"/>
          <w:szCs w:val="24"/>
        </w:rPr>
        <w:t xml:space="preserve">Hrvatskog zavoda za mirovinsko osiguranje, Područni ured u Bjelovaru, </w:t>
      </w:r>
      <w:r>
        <w:rPr>
          <w:rFonts w:ascii="Times New Roman" w:hAnsi="Times New Roman"/>
          <w:szCs w:val="24"/>
        </w:rPr>
        <w:t>povećanih izdvajanja za redovnu djelatnost Zavoda za prostorno uređenje</w:t>
      </w:r>
      <w:r w:rsidR="00D72A82">
        <w:rPr>
          <w:rFonts w:ascii="Times New Roman" w:hAnsi="Times New Roman"/>
          <w:szCs w:val="24"/>
        </w:rPr>
        <w:t xml:space="preserve"> te</w:t>
      </w:r>
      <w:r>
        <w:rPr>
          <w:rFonts w:ascii="Times New Roman" w:hAnsi="Times New Roman"/>
          <w:szCs w:val="24"/>
        </w:rPr>
        <w:t xml:space="preserve"> sufinanciranj</w:t>
      </w:r>
      <w:r w:rsidR="00D72A82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</w:rPr>
        <w:t xml:space="preserve"> stambenih kredita mladih</w:t>
      </w:r>
      <w:r w:rsidR="00D72A82">
        <w:rPr>
          <w:rFonts w:ascii="Times New Roman" w:hAnsi="Times New Roman"/>
          <w:szCs w:val="24"/>
        </w:rPr>
        <w:t xml:space="preserve"> osoba i mladih obitelji</w:t>
      </w:r>
      <w:r>
        <w:rPr>
          <w:rFonts w:ascii="Times New Roman" w:hAnsi="Times New Roman"/>
          <w:szCs w:val="24"/>
        </w:rPr>
        <w:t>.</w:t>
      </w:r>
    </w:p>
    <w:p w14:paraId="1906B513" w14:textId="0FA97FEF" w:rsidR="00284DFC" w:rsidRPr="008E49F4" w:rsidRDefault="00284DFC" w:rsidP="00284DFC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8E49F4">
        <w:rPr>
          <w:rFonts w:ascii="Times New Roman" w:hAnsi="Times New Roman"/>
          <w:b/>
          <w:bCs/>
          <w:szCs w:val="24"/>
        </w:rPr>
        <w:t>Funkcija 10</w:t>
      </w:r>
      <w:r>
        <w:rPr>
          <w:rFonts w:ascii="Times New Roman" w:hAnsi="Times New Roman"/>
          <w:b/>
          <w:bCs/>
          <w:szCs w:val="24"/>
        </w:rPr>
        <w:t xml:space="preserve"> Socijalna zaštita </w:t>
      </w:r>
      <w:r w:rsidR="000266FB" w:rsidRPr="002A5266">
        <w:rPr>
          <w:rFonts w:ascii="Times New Roman" w:hAnsi="Times New Roman"/>
          <w:szCs w:val="24"/>
        </w:rPr>
        <w:t>u odnosu na promatrano razdoblje pr</w:t>
      </w:r>
      <w:r w:rsidR="000266FB">
        <w:rPr>
          <w:rFonts w:ascii="Times New Roman" w:hAnsi="Times New Roman"/>
          <w:szCs w:val="24"/>
        </w:rPr>
        <w:t>ethodne</w:t>
      </w:r>
      <w:r w:rsidR="000266FB" w:rsidRPr="002A5266">
        <w:rPr>
          <w:rFonts w:ascii="Times New Roman" w:hAnsi="Times New Roman"/>
          <w:szCs w:val="24"/>
        </w:rPr>
        <w:t xml:space="preserve"> godine </w:t>
      </w:r>
      <w:r w:rsidR="000266FB">
        <w:rPr>
          <w:rFonts w:ascii="Times New Roman" w:hAnsi="Times New Roman"/>
          <w:szCs w:val="24"/>
        </w:rPr>
        <w:t xml:space="preserve">bilježi </w:t>
      </w:r>
      <w:r w:rsidR="000266FB" w:rsidRPr="002A5266">
        <w:rPr>
          <w:rFonts w:ascii="Times New Roman" w:hAnsi="Times New Roman"/>
          <w:szCs w:val="24"/>
        </w:rPr>
        <w:t>povećan</w:t>
      </w:r>
      <w:r w:rsidR="000266FB">
        <w:rPr>
          <w:rFonts w:ascii="Times New Roman" w:hAnsi="Times New Roman"/>
          <w:szCs w:val="24"/>
        </w:rPr>
        <w:t>j</w:t>
      </w:r>
      <w:r w:rsidR="000266FB" w:rsidRPr="002A5266">
        <w:rPr>
          <w:rFonts w:ascii="Times New Roman" w:hAnsi="Times New Roman"/>
          <w:szCs w:val="24"/>
        </w:rPr>
        <w:t>e zbog</w:t>
      </w:r>
      <w:r>
        <w:rPr>
          <w:rFonts w:ascii="Times New Roman" w:hAnsi="Times New Roman"/>
          <w:szCs w:val="24"/>
        </w:rPr>
        <w:t xml:space="preserve"> poveć</w:t>
      </w:r>
      <w:r w:rsidR="000266FB">
        <w:rPr>
          <w:rFonts w:ascii="Times New Roman" w:hAnsi="Times New Roman"/>
          <w:szCs w:val="24"/>
        </w:rPr>
        <w:t>anih</w:t>
      </w:r>
      <w:r>
        <w:rPr>
          <w:rFonts w:ascii="Times New Roman" w:hAnsi="Times New Roman"/>
          <w:szCs w:val="24"/>
        </w:rPr>
        <w:t xml:space="preserve"> izdvajanja za rad </w:t>
      </w:r>
      <w:r w:rsidR="000266FB">
        <w:rPr>
          <w:rFonts w:ascii="Times New Roman" w:hAnsi="Times New Roman"/>
          <w:szCs w:val="24"/>
        </w:rPr>
        <w:t>Društva Crvenog križa Bjelovarsko-bilogorske županije</w:t>
      </w:r>
      <w:r>
        <w:rPr>
          <w:rFonts w:ascii="Times New Roman" w:hAnsi="Times New Roman"/>
          <w:szCs w:val="24"/>
        </w:rPr>
        <w:t>, sufinanciranj</w:t>
      </w:r>
      <w:r w:rsidR="000266FB">
        <w:rPr>
          <w:rFonts w:ascii="Times New Roman" w:hAnsi="Times New Roman"/>
          <w:szCs w:val="24"/>
        </w:rPr>
        <w:t xml:space="preserve">a </w:t>
      </w:r>
      <w:r w:rsidR="00E550D4">
        <w:rPr>
          <w:rFonts w:ascii="Times New Roman" w:hAnsi="Times New Roman"/>
          <w:szCs w:val="24"/>
        </w:rPr>
        <w:t>P</w:t>
      </w:r>
      <w:r>
        <w:rPr>
          <w:rFonts w:ascii="Times New Roman" w:hAnsi="Times New Roman"/>
          <w:szCs w:val="24"/>
        </w:rPr>
        <w:t xml:space="preserve">učke kuhinje te isplaćenih sredstava za </w:t>
      </w:r>
      <w:proofErr w:type="spellStart"/>
      <w:r>
        <w:rPr>
          <w:rFonts w:ascii="Times New Roman" w:hAnsi="Times New Roman"/>
          <w:szCs w:val="24"/>
        </w:rPr>
        <w:t>uskrsnice</w:t>
      </w:r>
      <w:proofErr w:type="spellEnd"/>
      <w:r>
        <w:rPr>
          <w:rFonts w:ascii="Times New Roman" w:hAnsi="Times New Roman"/>
          <w:szCs w:val="24"/>
        </w:rPr>
        <w:t xml:space="preserve"> za umirovljenike s područja Bjelovarsko-bilogorske županije.</w:t>
      </w:r>
    </w:p>
    <w:p w14:paraId="3CC701D6" w14:textId="77777777" w:rsidR="006E5BAD" w:rsidRPr="00BE4E26" w:rsidRDefault="006E5BAD" w:rsidP="006E5BAD">
      <w:pPr>
        <w:ind w:left="360"/>
        <w:rPr>
          <w:rFonts w:ascii="Times New Roman" w:hAnsi="Times New Roman"/>
          <w:szCs w:val="24"/>
          <w:highlight w:val="lightGray"/>
        </w:rPr>
      </w:pPr>
    </w:p>
    <w:p w14:paraId="399E3493" w14:textId="77777777" w:rsidR="00E6690F" w:rsidRDefault="00E6690F" w:rsidP="00C43E73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0553D056" w14:textId="77777777" w:rsidR="00881300" w:rsidRPr="00C56ACA" w:rsidRDefault="00B60E46" w:rsidP="00C43E73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C56ACA">
        <w:rPr>
          <w:rFonts w:ascii="Times New Roman" w:hAnsi="Times New Roman"/>
          <w:b/>
          <w:sz w:val="22"/>
          <w:szCs w:val="22"/>
        </w:rPr>
        <w:t>IZVJEŠTAJ RAČUNA FINANCIRANJA PREMA EKONOMSKOJ KLASIFIKACIJI</w:t>
      </w:r>
    </w:p>
    <w:p w14:paraId="7B6C1A0D" w14:textId="77777777" w:rsidR="00881300" w:rsidRPr="00BE4E26" w:rsidRDefault="00881300" w:rsidP="008E34C6">
      <w:pPr>
        <w:spacing w:line="276" w:lineRule="auto"/>
        <w:ind w:firstLine="708"/>
        <w:jc w:val="both"/>
        <w:rPr>
          <w:rFonts w:ascii="Times New Roman" w:hAnsi="Times New Roman"/>
          <w:b/>
          <w:szCs w:val="24"/>
          <w:highlight w:val="lightGray"/>
        </w:rPr>
      </w:pPr>
    </w:p>
    <w:p w14:paraId="7D30685E" w14:textId="77777777" w:rsidR="00B60E46" w:rsidRPr="00DF33FA" w:rsidRDefault="00951B7B" w:rsidP="00951B7B">
      <w:pPr>
        <w:spacing w:line="276" w:lineRule="auto"/>
        <w:jc w:val="both"/>
        <w:rPr>
          <w:rFonts w:ascii="Times New Roman" w:hAnsi="Times New Roman"/>
          <w:szCs w:val="24"/>
        </w:rPr>
      </w:pPr>
      <w:r w:rsidRPr="00DF33FA">
        <w:rPr>
          <w:rFonts w:ascii="Times New Roman" w:hAnsi="Times New Roman"/>
          <w:b/>
          <w:szCs w:val="24"/>
        </w:rPr>
        <w:tab/>
      </w:r>
      <w:r w:rsidRPr="00DF33FA">
        <w:rPr>
          <w:rFonts w:ascii="Times New Roman" w:hAnsi="Times New Roman"/>
          <w:szCs w:val="24"/>
        </w:rPr>
        <w:t>N</w:t>
      </w:r>
      <w:r w:rsidR="006543CA" w:rsidRPr="00DF33FA">
        <w:rPr>
          <w:rFonts w:ascii="Times New Roman" w:hAnsi="Times New Roman"/>
          <w:szCs w:val="24"/>
        </w:rPr>
        <w:t>avedeni izvještaj sadrži prikaz primitaka i izdataka prema ekonomskoj klasifikaciji</w:t>
      </w:r>
      <w:r w:rsidR="00DB1F0D" w:rsidRPr="00DF33FA">
        <w:rPr>
          <w:rFonts w:ascii="Times New Roman" w:hAnsi="Times New Roman"/>
          <w:szCs w:val="24"/>
        </w:rPr>
        <w:t>.</w:t>
      </w:r>
    </w:p>
    <w:p w14:paraId="4520E3E5" w14:textId="77777777" w:rsidR="00D77438" w:rsidRDefault="00D77438" w:rsidP="00FF00E1">
      <w:pPr>
        <w:spacing w:line="360" w:lineRule="auto"/>
        <w:jc w:val="both"/>
        <w:rPr>
          <w:rFonts w:ascii="Times New Roman" w:hAnsi="Times New Roman"/>
          <w:szCs w:val="24"/>
          <w:highlight w:val="lightGray"/>
        </w:rPr>
      </w:pPr>
    </w:p>
    <w:p w14:paraId="267FF00A" w14:textId="106236E4" w:rsidR="00152426" w:rsidRPr="0083427B" w:rsidRDefault="00DB1F0D" w:rsidP="00152426">
      <w:pPr>
        <w:pStyle w:val="NoSpacing"/>
        <w:tabs>
          <w:tab w:val="left" w:pos="709"/>
        </w:tabs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3C6823">
        <w:rPr>
          <w:rFonts w:ascii="Times New Roman" w:hAnsi="Times New Roman"/>
          <w:szCs w:val="24"/>
        </w:rPr>
        <w:tab/>
      </w:r>
      <w:r w:rsidRPr="003B3DFA">
        <w:rPr>
          <w:rFonts w:ascii="Times New Roman" w:hAnsi="Times New Roman"/>
          <w:b/>
          <w:iCs/>
          <w:szCs w:val="24"/>
        </w:rPr>
        <w:t xml:space="preserve"> </w:t>
      </w:r>
      <w:r w:rsidR="00152426" w:rsidRPr="003B3DFA">
        <w:rPr>
          <w:rFonts w:ascii="Times New Roman" w:hAnsi="Times New Roman"/>
          <w:b/>
          <w:iCs/>
          <w:sz w:val="24"/>
          <w:szCs w:val="24"/>
        </w:rPr>
        <w:t>Primici od financijske imovine i zaduživanja</w:t>
      </w:r>
      <w:r w:rsidR="00152426" w:rsidRPr="0083427B">
        <w:rPr>
          <w:rFonts w:ascii="Times New Roman" w:hAnsi="Times New Roman"/>
          <w:szCs w:val="24"/>
        </w:rPr>
        <w:t xml:space="preserve"> </w:t>
      </w:r>
      <w:r w:rsidR="00534F3E">
        <w:rPr>
          <w:rFonts w:ascii="Times New Roman" w:eastAsia="Times New Roman" w:hAnsi="Times New Roman" w:cs="Times New Roman"/>
          <w:sz w:val="24"/>
          <w:szCs w:val="24"/>
          <w:lang w:eastAsia="hr-HR"/>
        </w:rPr>
        <w:t>ostvareni</w:t>
      </w:r>
      <w:r w:rsidR="00152426" w:rsidRPr="008342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u ukupnom iznosu od </w:t>
      </w:r>
      <w:r w:rsidR="00152426">
        <w:rPr>
          <w:rFonts w:ascii="Times New Roman" w:eastAsia="Times New Roman" w:hAnsi="Times New Roman" w:cs="Times New Roman"/>
          <w:sz w:val="24"/>
          <w:szCs w:val="24"/>
          <w:lang w:eastAsia="hr-HR"/>
        </w:rPr>
        <w:t>5.626.88</w:t>
      </w:r>
      <w:r w:rsidR="00152426" w:rsidRPr="008342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52426">
        <w:rPr>
          <w:rFonts w:ascii="Times New Roman" w:eastAsia="Times New Roman" w:hAnsi="Times New Roman" w:cs="Times New Roman"/>
          <w:sz w:val="24"/>
          <w:szCs w:val="24"/>
          <w:lang w:eastAsia="hr-HR"/>
        </w:rPr>
        <w:t>eura</w:t>
      </w:r>
      <w:r w:rsidR="00152426" w:rsidRPr="008342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odnosno </w:t>
      </w:r>
      <w:r w:rsidR="0015242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0,21 </w:t>
      </w:r>
      <w:r w:rsidR="00152426" w:rsidRPr="0083427B">
        <w:rPr>
          <w:rFonts w:ascii="Times New Roman" w:eastAsia="Times New Roman" w:hAnsi="Times New Roman" w:cs="Times New Roman"/>
          <w:sz w:val="24"/>
          <w:szCs w:val="24"/>
          <w:lang w:eastAsia="hr-HR"/>
        </w:rPr>
        <w:t>% u odnosu na plan tekuće godine</w:t>
      </w:r>
      <w:r w:rsidR="00152426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152426" w:rsidRPr="008342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 </w:t>
      </w:r>
      <w:r w:rsidR="0015242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99,07 </w:t>
      </w:r>
      <w:r w:rsidR="00152426" w:rsidRPr="008342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manje u odnosu na </w:t>
      </w:r>
      <w:r w:rsidR="0015242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promatrano razdoblje </w:t>
      </w:r>
      <w:r w:rsidR="00152426" w:rsidRPr="0083427B">
        <w:rPr>
          <w:rFonts w:ascii="Times New Roman" w:eastAsia="Times New Roman" w:hAnsi="Times New Roman" w:cs="Times New Roman"/>
          <w:sz w:val="24"/>
          <w:szCs w:val="24"/>
          <w:lang w:eastAsia="hr-HR"/>
        </w:rPr>
        <w:t>prethodn</w:t>
      </w:r>
      <w:r w:rsidR="00152426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152426" w:rsidRPr="008342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</w:t>
      </w:r>
      <w:r w:rsidR="00152426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152426" w:rsidRPr="0083427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52871F3" w14:textId="3A71EF08" w:rsidR="00152426" w:rsidRDefault="00152426" w:rsidP="00152426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Cs w:val="24"/>
        </w:rPr>
      </w:pPr>
      <w:r w:rsidRPr="0083427B">
        <w:rPr>
          <w:rFonts w:ascii="Times New Roman" w:hAnsi="Times New Roman"/>
          <w:szCs w:val="24"/>
        </w:rPr>
        <w:tab/>
      </w:r>
      <w:r w:rsidRPr="0083427B">
        <w:rPr>
          <w:rFonts w:ascii="Times New Roman" w:hAnsi="Times New Roman"/>
          <w:b/>
          <w:szCs w:val="24"/>
        </w:rPr>
        <w:t xml:space="preserve"> </w:t>
      </w:r>
      <w:r w:rsidRPr="003B3DFA">
        <w:rPr>
          <w:rFonts w:ascii="Times New Roman" w:hAnsi="Times New Roman"/>
          <w:bCs/>
          <w:szCs w:val="24"/>
        </w:rPr>
        <w:t>Primljene otplate (povrati) glavnice danih zajmova</w:t>
      </w:r>
      <w:r>
        <w:rPr>
          <w:rFonts w:ascii="Times New Roman" w:hAnsi="Times New Roman"/>
          <w:b/>
          <w:szCs w:val="24"/>
        </w:rPr>
        <w:t xml:space="preserve"> </w:t>
      </w:r>
      <w:r w:rsidRPr="0083427B">
        <w:rPr>
          <w:rFonts w:ascii="Times New Roman" w:hAnsi="Times New Roman"/>
          <w:szCs w:val="24"/>
        </w:rPr>
        <w:t xml:space="preserve">u obračunskom razdoblju iznose </w:t>
      </w:r>
      <w:r>
        <w:rPr>
          <w:rFonts w:ascii="Times New Roman" w:hAnsi="Times New Roman"/>
          <w:szCs w:val="24"/>
        </w:rPr>
        <w:t>4.204,00</w:t>
      </w:r>
      <w:r w:rsidRPr="0083427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eura, a odnose se na </w:t>
      </w:r>
      <w:r w:rsidRPr="00152426">
        <w:rPr>
          <w:rFonts w:ascii="Times New Roman" w:hAnsi="Times New Roman"/>
          <w:szCs w:val="24"/>
        </w:rPr>
        <w:t>povrate poduzetničkih kredita ranijih godina temeljem pokrenutih sudskih postupaka.</w:t>
      </w:r>
    </w:p>
    <w:p w14:paraId="4BA8213D" w14:textId="55CEF112" w:rsidR="00152426" w:rsidRPr="0083427B" w:rsidRDefault="00152426" w:rsidP="00152426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Pr="003B3DFA">
        <w:rPr>
          <w:rFonts w:ascii="Times New Roman" w:hAnsi="Times New Roman"/>
          <w:bCs/>
          <w:szCs w:val="24"/>
        </w:rPr>
        <w:t xml:space="preserve"> Primici od prodaje dionica i udjela u glavnici</w:t>
      </w:r>
      <w:r>
        <w:rPr>
          <w:rFonts w:ascii="Times New Roman" w:hAnsi="Times New Roman"/>
          <w:b/>
          <w:szCs w:val="24"/>
        </w:rPr>
        <w:t xml:space="preserve"> </w:t>
      </w:r>
      <w:r w:rsidRPr="0083427B">
        <w:rPr>
          <w:rFonts w:ascii="Times New Roman" w:hAnsi="Times New Roman"/>
          <w:szCs w:val="24"/>
        </w:rPr>
        <w:t xml:space="preserve">u obračunskom razdoblju iznose </w:t>
      </w:r>
      <w:r>
        <w:rPr>
          <w:rFonts w:ascii="Times New Roman" w:hAnsi="Times New Roman"/>
          <w:szCs w:val="24"/>
        </w:rPr>
        <w:t>1.422,88 eura, a odnose se na otplatu dionica „Vodoprivrede“ Daruvar</w:t>
      </w:r>
      <w:r w:rsidRPr="0083427B">
        <w:rPr>
          <w:rFonts w:ascii="Times New Roman" w:hAnsi="Times New Roman"/>
          <w:szCs w:val="24"/>
        </w:rPr>
        <w:t xml:space="preserve">. </w:t>
      </w:r>
    </w:p>
    <w:p w14:paraId="0C0FF037" w14:textId="77777777" w:rsidR="00152426" w:rsidRPr="0083427B" w:rsidRDefault="00152426" w:rsidP="00152426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Cs w:val="24"/>
        </w:rPr>
      </w:pPr>
    </w:p>
    <w:p w14:paraId="5A7F134B" w14:textId="14D528F3" w:rsidR="00152426" w:rsidRPr="0083427B" w:rsidRDefault="00152426" w:rsidP="00152426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bCs/>
          <w:iCs/>
          <w:szCs w:val="24"/>
        </w:rPr>
      </w:pPr>
      <w:r w:rsidRPr="0083427B">
        <w:rPr>
          <w:rFonts w:ascii="Times New Roman" w:hAnsi="Times New Roman"/>
          <w:b/>
          <w:i/>
          <w:szCs w:val="24"/>
        </w:rPr>
        <w:tab/>
      </w:r>
      <w:r w:rsidRPr="003B3DFA">
        <w:rPr>
          <w:rFonts w:ascii="Times New Roman" w:hAnsi="Times New Roman"/>
          <w:b/>
          <w:iCs/>
          <w:szCs w:val="24"/>
        </w:rPr>
        <w:t>Izdaci za financijsku imovinu i otplate zajmova</w:t>
      </w:r>
      <w:r w:rsidRPr="0083427B">
        <w:rPr>
          <w:rFonts w:ascii="Times New Roman" w:hAnsi="Times New Roman"/>
          <w:b/>
          <w:i/>
          <w:szCs w:val="24"/>
        </w:rPr>
        <w:t xml:space="preserve"> </w:t>
      </w:r>
      <w:r w:rsidR="00534F3E">
        <w:rPr>
          <w:rFonts w:ascii="Times New Roman" w:hAnsi="Times New Roman"/>
          <w:bCs/>
          <w:iCs/>
          <w:szCs w:val="24"/>
        </w:rPr>
        <w:t xml:space="preserve">ostvareni su u ukupnom iznosu od </w:t>
      </w:r>
      <w:r w:rsidRPr="0083427B">
        <w:rPr>
          <w:rFonts w:ascii="Times New Roman" w:hAnsi="Times New Roman"/>
          <w:bCs/>
          <w:iCs/>
          <w:szCs w:val="24"/>
        </w:rPr>
        <w:t xml:space="preserve"> </w:t>
      </w:r>
      <w:r>
        <w:rPr>
          <w:rFonts w:ascii="Times New Roman" w:hAnsi="Times New Roman"/>
          <w:bCs/>
          <w:iCs/>
          <w:szCs w:val="24"/>
        </w:rPr>
        <w:t>416.910,73</w:t>
      </w:r>
      <w:r w:rsidRPr="0083427B">
        <w:rPr>
          <w:rFonts w:ascii="Times New Roman" w:hAnsi="Times New Roman"/>
          <w:bCs/>
          <w:iCs/>
          <w:szCs w:val="24"/>
        </w:rPr>
        <w:t xml:space="preserve"> </w:t>
      </w:r>
      <w:r w:rsidR="00534F3E">
        <w:rPr>
          <w:rFonts w:ascii="Times New Roman" w:hAnsi="Times New Roman"/>
          <w:bCs/>
          <w:iCs/>
          <w:szCs w:val="24"/>
        </w:rPr>
        <w:t>eura</w:t>
      </w:r>
      <w:r w:rsidRPr="0083427B">
        <w:rPr>
          <w:rFonts w:ascii="Times New Roman" w:hAnsi="Times New Roman"/>
          <w:bCs/>
          <w:iCs/>
          <w:szCs w:val="24"/>
        </w:rPr>
        <w:t xml:space="preserve">, odnosno </w:t>
      </w:r>
      <w:r>
        <w:rPr>
          <w:rFonts w:ascii="Times New Roman" w:hAnsi="Times New Roman"/>
          <w:bCs/>
          <w:iCs/>
          <w:szCs w:val="24"/>
        </w:rPr>
        <w:t>37,07</w:t>
      </w:r>
      <w:r w:rsidRPr="0083427B">
        <w:rPr>
          <w:rFonts w:ascii="Times New Roman" w:hAnsi="Times New Roman"/>
          <w:bCs/>
          <w:iCs/>
          <w:szCs w:val="24"/>
        </w:rPr>
        <w:t xml:space="preserve">% </w:t>
      </w:r>
      <w:r>
        <w:rPr>
          <w:rFonts w:ascii="Times New Roman" w:hAnsi="Times New Roman"/>
          <w:bCs/>
          <w:iCs/>
          <w:szCs w:val="24"/>
        </w:rPr>
        <w:t>u odnosu na plan, a 75,54</w:t>
      </w:r>
      <w:r w:rsidR="00534F3E">
        <w:rPr>
          <w:rFonts w:ascii="Times New Roman" w:hAnsi="Times New Roman"/>
          <w:bCs/>
          <w:iCs/>
          <w:szCs w:val="24"/>
        </w:rPr>
        <w:t xml:space="preserve"> </w:t>
      </w:r>
      <w:r w:rsidRPr="0083427B">
        <w:rPr>
          <w:rFonts w:ascii="Times New Roman" w:hAnsi="Times New Roman"/>
          <w:bCs/>
          <w:iCs/>
          <w:szCs w:val="24"/>
        </w:rPr>
        <w:t xml:space="preserve">% manje u odnosu na </w:t>
      </w:r>
      <w:r>
        <w:rPr>
          <w:rFonts w:ascii="Times New Roman" w:hAnsi="Times New Roman"/>
          <w:bCs/>
          <w:iCs/>
          <w:szCs w:val="24"/>
        </w:rPr>
        <w:t xml:space="preserve">ostvarenje </w:t>
      </w:r>
      <w:r w:rsidR="00534F3E">
        <w:rPr>
          <w:rFonts w:ascii="Times New Roman" w:hAnsi="Times New Roman"/>
          <w:bCs/>
          <w:iCs/>
          <w:szCs w:val="24"/>
        </w:rPr>
        <w:t xml:space="preserve">promatranog razdoblja </w:t>
      </w:r>
      <w:r>
        <w:rPr>
          <w:rFonts w:ascii="Times New Roman" w:hAnsi="Times New Roman"/>
          <w:bCs/>
          <w:iCs/>
          <w:szCs w:val="24"/>
        </w:rPr>
        <w:t>prethodne godine.</w:t>
      </w:r>
    </w:p>
    <w:p w14:paraId="58140F9E" w14:textId="5DCA4CD0" w:rsidR="00152426" w:rsidRDefault="00152426" w:rsidP="00152426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83427B">
        <w:rPr>
          <w:rFonts w:ascii="Times New Roman" w:hAnsi="Times New Roman"/>
          <w:b/>
          <w:szCs w:val="24"/>
        </w:rPr>
        <w:t xml:space="preserve"> </w:t>
      </w:r>
      <w:r w:rsidRPr="003B3DFA">
        <w:rPr>
          <w:rFonts w:ascii="Times New Roman" w:hAnsi="Times New Roman"/>
          <w:bCs/>
          <w:szCs w:val="24"/>
        </w:rPr>
        <w:t>Izdaci za otplatu glavnice primljenih kredita i zajmova</w:t>
      </w:r>
      <w:r w:rsidRPr="0083427B">
        <w:rPr>
          <w:rFonts w:ascii="Times New Roman" w:hAnsi="Times New Roman"/>
          <w:b/>
          <w:szCs w:val="24"/>
        </w:rPr>
        <w:t xml:space="preserve"> </w:t>
      </w:r>
      <w:r w:rsidRPr="0083427B">
        <w:rPr>
          <w:rFonts w:ascii="Times New Roman" w:hAnsi="Times New Roman"/>
          <w:szCs w:val="24"/>
        </w:rPr>
        <w:t xml:space="preserve">obuhvaća otplatu glavnice </w:t>
      </w:r>
      <w:r w:rsidR="009B7C06">
        <w:rPr>
          <w:rFonts w:ascii="Times New Roman" w:hAnsi="Times New Roman"/>
          <w:szCs w:val="24"/>
        </w:rPr>
        <w:t>kredita Županije za obnovu s</w:t>
      </w:r>
      <w:r w:rsidR="009B7C06" w:rsidRPr="009B7C06">
        <w:rPr>
          <w:rFonts w:ascii="Times New Roman" w:hAnsi="Times New Roman"/>
          <w:szCs w:val="24"/>
        </w:rPr>
        <w:t>portsk</w:t>
      </w:r>
      <w:r w:rsidR="009B7C06">
        <w:rPr>
          <w:rFonts w:ascii="Times New Roman" w:hAnsi="Times New Roman"/>
          <w:szCs w:val="24"/>
        </w:rPr>
        <w:t>e</w:t>
      </w:r>
      <w:r w:rsidR="009B7C06" w:rsidRPr="009B7C06">
        <w:rPr>
          <w:rFonts w:ascii="Times New Roman" w:hAnsi="Times New Roman"/>
          <w:szCs w:val="24"/>
        </w:rPr>
        <w:t xml:space="preserve"> dvoran</w:t>
      </w:r>
      <w:r w:rsidR="009B7C06">
        <w:rPr>
          <w:rFonts w:ascii="Times New Roman" w:hAnsi="Times New Roman"/>
          <w:szCs w:val="24"/>
        </w:rPr>
        <w:t>e</w:t>
      </w:r>
      <w:r w:rsidR="009B7C06" w:rsidRPr="009B7C06">
        <w:rPr>
          <w:rFonts w:ascii="Times New Roman" w:hAnsi="Times New Roman"/>
          <w:szCs w:val="24"/>
        </w:rPr>
        <w:t xml:space="preserve"> četiri srednje škole u Bjelovaru</w:t>
      </w:r>
      <w:r w:rsidR="009B7C06">
        <w:rPr>
          <w:rFonts w:ascii="Times New Roman" w:hAnsi="Times New Roman"/>
          <w:szCs w:val="24"/>
        </w:rPr>
        <w:t xml:space="preserve"> </w:t>
      </w:r>
      <w:r w:rsidRPr="0083427B">
        <w:rPr>
          <w:rFonts w:ascii="Times New Roman" w:hAnsi="Times New Roman"/>
          <w:szCs w:val="24"/>
        </w:rPr>
        <w:t>u iznosu</w:t>
      </w:r>
      <w:r w:rsidR="009B7C06">
        <w:rPr>
          <w:rFonts w:ascii="Times New Roman" w:hAnsi="Times New Roman"/>
          <w:szCs w:val="24"/>
        </w:rPr>
        <w:t xml:space="preserve"> od</w:t>
      </w:r>
      <w:r w:rsidRPr="0083427B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197.068,60</w:t>
      </w:r>
      <w:r w:rsidRPr="0083427B">
        <w:rPr>
          <w:rFonts w:ascii="Times New Roman" w:hAnsi="Times New Roman"/>
          <w:szCs w:val="24"/>
        </w:rPr>
        <w:t xml:space="preserve"> </w:t>
      </w:r>
      <w:r w:rsidR="004B52C4">
        <w:rPr>
          <w:rFonts w:ascii="Times New Roman" w:hAnsi="Times New Roman"/>
          <w:szCs w:val="24"/>
        </w:rPr>
        <w:t>eura</w:t>
      </w:r>
      <w:r w:rsidRPr="0083427B">
        <w:rPr>
          <w:rFonts w:ascii="Times New Roman" w:hAnsi="Times New Roman"/>
          <w:szCs w:val="24"/>
        </w:rPr>
        <w:t>, otplatu</w:t>
      </w:r>
      <w:r w:rsidR="004B52C4">
        <w:rPr>
          <w:rFonts w:ascii="Times New Roman" w:hAnsi="Times New Roman"/>
          <w:szCs w:val="24"/>
        </w:rPr>
        <w:t xml:space="preserve"> </w:t>
      </w:r>
      <w:r w:rsidR="004B52C4" w:rsidRPr="004B52C4">
        <w:rPr>
          <w:rFonts w:ascii="Times New Roman" w:hAnsi="Times New Roman"/>
          <w:kern w:val="2"/>
          <w:szCs w:val="24"/>
          <w14:ligatures w14:val="standardContextual"/>
        </w:rPr>
        <w:t>duga Ministarstvu poljoprivrede</w:t>
      </w:r>
      <w:r w:rsidR="004B52C4">
        <w:rPr>
          <w:rFonts w:ascii="Times New Roman" w:hAnsi="Times New Roman"/>
          <w:kern w:val="2"/>
          <w:szCs w:val="24"/>
          <w14:ligatures w14:val="standardContextual"/>
        </w:rPr>
        <w:t xml:space="preserve"> </w:t>
      </w:r>
      <w:r w:rsidR="004B52C4" w:rsidRPr="004B52C4">
        <w:rPr>
          <w:rFonts w:ascii="Times New Roman" w:hAnsi="Times New Roman"/>
          <w:kern w:val="2"/>
          <w:szCs w:val="24"/>
          <w14:ligatures w14:val="standardContextual"/>
        </w:rPr>
        <w:t>za kreditiranje poljoprivrednika sukladno donesenom Terminskom planu</w:t>
      </w:r>
      <w:r w:rsidRPr="0083427B">
        <w:rPr>
          <w:rFonts w:ascii="Times New Roman" w:hAnsi="Times New Roman"/>
          <w:szCs w:val="24"/>
        </w:rPr>
        <w:t xml:space="preserve"> u iznosu 89.142,94</w:t>
      </w:r>
      <w:r w:rsidR="004B52C4">
        <w:rPr>
          <w:rFonts w:ascii="Times New Roman" w:hAnsi="Times New Roman"/>
          <w:szCs w:val="24"/>
        </w:rPr>
        <w:t xml:space="preserve"> eura</w:t>
      </w:r>
      <w:r>
        <w:rPr>
          <w:rFonts w:ascii="Times New Roman" w:hAnsi="Times New Roman"/>
          <w:szCs w:val="24"/>
        </w:rPr>
        <w:t xml:space="preserve">, </w:t>
      </w:r>
      <w:r w:rsidR="004B52C4">
        <w:rPr>
          <w:rFonts w:ascii="Times New Roman" w:hAnsi="Times New Roman"/>
          <w:szCs w:val="24"/>
        </w:rPr>
        <w:t xml:space="preserve">otplatu kredita </w:t>
      </w:r>
      <w:r>
        <w:rPr>
          <w:rFonts w:ascii="Times New Roman" w:hAnsi="Times New Roman"/>
          <w:szCs w:val="24"/>
        </w:rPr>
        <w:t>Glazben</w:t>
      </w:r>
      <w:r w:rsidR="004B52C4">
        <w:rPr>
          <w:rFonts w:ascii="Times New Roman" w:hAnsi="Times New Roman"/>
          <w:szCs w:val="24"/>
        </w:rPr>
        <w:t>e</w:t>
      </w:r>
      <w:r>
        <w:rPr>
          <w:rFonts w:ascii="Times New Roman" w:hAnsi="Times New Roman"/>
          <w:szCs w:val="24"/>
        </w:rPr>
        <w:t xml:space="preserve"> škol</w:t>
      </w:r>
      <w:r w:rsidR="004B52C4">
        <w:rPr>
          <w:rFonts w:ascii="Times New Roman" w:hAnsi="Times New Roman"/>
          <w:szCs w:val="24"/>
        </w:rPr>
        <w:t xml:space="preserve">e </w:t>
      </w:r>
      <w:r>
        <w:rPr>
          <w:rFonts w:ascii="Times New Roman" w:hAnsi="Times New Roman"/>
          <w:szCs w:val="24"/>
        </w:rPr>
        <w:t>V</w:t>
      </w:r>
      <w:r w:rsidR="004B52C4">
        <w:rPr>
          <w:rFonts w:ascii="Times New Roman" w:hAnsi="Times New Roman"/>
          <w:szCs w:val="24"/>
        </w:rPr>
        <w:t>atroslava</w:t>
      </w:r>
      <w:r>
        <w:rPr>
          <w:rFonts w:ascii="Times New Roman" w:hAnsi="Times New Roman"/>
          <w:szCs w:val="24"/>
        </w:rPr>
        <w:t xml:space="preserve"> Lisinsk</w:t>
      </w:r>
      <w:r w:rsidR="004B52C4">
        <w:rPr>
          <w:rFonts w:ascii="Times New Roman" w:hAnsi="Times New Roman"/>
          <w:szCs w:val="24"/>
        </w:rPr>
        <w:t>og Bjelovar</w:t>
      </w:r>
      <w:r>
        <w:rPr>
          <w:rFonts w:ascii="Times New Roman" w:hAnsi="Times New Roman"/>
          <w:szCs w:val="24"/>
        </w:rPr>
        <w:t xml:space="preserve"> u iznosu od 45.942,51 </w:t>
      </w:r>
      <w:r w:rsidR="004B52C4">
        <w:rPr>
          <w:rFonts w:ascii="Times New Roman" w:hAnsi="Times New Roman"/>
          <w:szCs w:val="24"/>
        </w:rPr>
        <w:t>eura</w:t>
      </w:r>
      <w:r>
        <w:rPr>
          <w:rFonts w:ascii="Times New Roman" w:hAnsi="Times New Roman"/>
          <w:szCs w:val="24"/>
        </w:rPr>
        <w:t>,</w:t>
      </w:r>
      <w:r w:rsidRPr="0083427B">
        <w:rPr>
          <w:rFonts w:ascii="Times New Roman" w:hAnsi="Times New Roman"/>
          <w:szCs w:val="24"/>
        </w:rPr>
        <w:t xml:space="preserve"> otplatu kredita Zavoda za javno zdravstvo</w:t>
      </w:r>
      <w:r w:rsidR="004B52C4">
        <w:rPr>
          <w:rFonts w:ascii="Times New Roman" w:hAnsi="Times New Roman"/>
          <w:szCs w:val="24"/>
        </w:rPr>
        <w:t xml:space="preserve"> Bjelovarsko-</w:t>
      </w:r>
      <w:r w:rsidR="004B52C4">
        <w:rPr>
          <w:rFonts w:ascii="Times New Roman" w:hAnsi="Times New Roman"/>
          <w:szCs w:val="24"/>
        </w:rPr>
        <w:lastRenderedPageBreak/>
        <w:t>bilogorske županije</w:t>
      </w:r>
      <w:r w:rsidRPr="0083427B">
        <w:rPr>
          <w:rFonts w:ascii="Times New Roman" w:hAnsi="Times New Roman"/>
          <w:szCs w:val="24"/>
        </w:rPr>
        <w:t xml:space="preserve"> u iznosu od </w:t>
      </w:r>
      <w:r>
        <w:rPr>
          <w:rFonts w:ascii="Times New Roman" w:hAnsi="Times New Roman"/>
          <w:szCs w:val="24"/>
        </w:rPr>
        <w:t>30.000,00</w:t>
      </w:r>
      <w:r w:rsidRPr="0083427B">
        <w:rPr>
          <w:rFonts w:ascii="Times New Roman" w:hAnsi="Times New Roman"/>
          <w:szCs w:val="24"/>
        </w:rPr>
        <w:t xml:space="preserve"> </w:t>
      </w:r>
      <w:r w:rsidR="004B52C4">
        <w:rPr>
          <w:rFonts w:ascii="Times New Roman" w:hAnsi="Times New Roman"/>
          <w:szCs w:val="24"/>
        </w:rPr>
        <w:t>eura</w:t>
      </w:r>
      <w:r w:rsidRPr="0083427B">
        <w:rPr>
          <w:rFonts w:ascii="Times New Roman" w:hAnsi="Times New Roman"/>
          <w:szCs w:val="24"/>
        </w:rPr>
        <w:t xml:space="preserve"> i </w:t>
      </w:r>
      <w:r w:rsidR="004B52C4">
        <w:rPr>
          <w:rFonts w:ascii="Times New Roman" w:hAnsi="Times New Roman"/>
          <w:szCs w:val="24"/>
        </w:rPr>
        <w:t xml:space="preserve">otplatu kredita </w:t>
      </w:r>
      <w:r w:rsidRPr="0083427B">
        <w:rPr>
          <w:rFonts w:ascii="Times New Roman" w:hAnsi="Times New Roman"/>
          <w:szCs w:val="24"/>
        </w:rPr>
        <w:t>Doma za starije osobe</w:t>
      </w:r>
      <w:r w:rsidR="004B52C4">
        <w:rPr>
          <w:rFonts w:ascii="Times New Roman" w:hAnsi="Times New Roman"/>
          <w:szCs w:val="24"/>
        </w:rPr>
        <w:t xml:space="preserve"> Bjelovar</w:t>
      </w:r>
      <w:r w:rsidRPr="0083427B">
        <w:rPr>
          <w:rFonts w:ascii="Times New Roman" w:hAnsi="Times New Roman"/>
          <w:szCs w:val="24"/>
        </w:rPr>
        <w:t xml:space="preserve"> u iznosu od 17.253,56 </w:t>
      </w:r>
      <w:r w:rsidR="004B52C4">
        <w:rPr>
          <w:rFonts w:ascii="Times New Roman" w:hAnsi="Times New Roman"/>
          <w:szCs w:val="24"/>
        </w:rPr>
        <w:t>eura</w:t>
      </w:r>
      <w:r w:rsidRPr="0083427B">
        <w:rPr>
          <w:rFonts w:ascii="Times New Roman" w:hAnsi="Times New Roman"/>
          <w:szCs w:val="24"/>
        </w:rPr>
        <w:t xml:space="preserve">. U nešto manjem iznosu škole su imale otplatu leasinga za nabavu kombi vozila. </w:t>
      </w:r>
    </w:p>
    <w:p w14:paraId="09D8CBF5" w14:textId="77777777" w:rsidR="00D36E19" w:rsidRPr="00BE4E26" w:rsidRDefault="00D36E19" w:rsidP="00152426">
      <w:pPr>
        <w:spacing w:line="360" w:lineRule="auto"/>
        <w:jc w:val="both"/>
        <w:rPr>
          <w:rFonts w:ascii="Times New Roman" w:hAnsi="Times New Roman"/>
          <w:b/>
          <w:sz w:val="22"/>
          <w:szCs w:val="22"/>
          <w:highlight w:val="lightGray"/>
        </w:rPr>
      </w:pPr>
    </w:p>
    <w:p w14:paraId="1FAA9DAF" w14:textId="77777777" w:rsidR="00B60E46" w:rsidRPr="000D4273" w:rsidRDefault="00614C14" w:rsidP="00A86484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0D4273">
        <w:rPr>
          <w:rFonts w:ascii="Times New Roman" w:hAnsi="Times New Roman"/>
          <w:b/>
          <w:sz w:val="22"/>
          <w:szCs w:val="22"/>
        </w:rPr>
        <w:t>IZVJEŠTAJ RAČUNA FINANCIRANJA PREMA IZVORIMA FINANCIRANJA</w:t>
      </w:r>
    </w:p>
    <w:p w14:paraId="6F7014C5" w14:textId="77777777" w:rsidR="00B60E46" w:rsidRPr="00BE4E26" w:rsidRDefault="00B60E46" w:rsidP="008E34C6">
      <w:pPr>
        <w:spacing w:line="276" w:lineRule="auto"/>
        <w:ind w:firstLine="708"/>
        <w:jc w:val="both"/>
        <w:rPr>
          <w:rFonts w:ascii="Times New Roman" w:hAnsi="Times New Roman"/>
          <w:b/>
          <w:szCs w:val="24"/>
          <w:highlight w:val="lightGray"/>
        </w:rPr>
      </w:pPr>
    </w:p>
    <w:p w14:paraId="1859627F" w14:textId="00485D73" w:rsidR="00C752DC" w:rsidRDefault="00237EF0" w:rsidP="00225715">
      <w:pPr>
        <w:spacing w:line="360" w:lineRule="auto"/>
        <w:jc w:val="both"/>
        <w:rPr>
          <w:rFonts w:ascii="Times New Roman" w:hAnsi="Times New Roman"/>
          <w:szCs w:val="24"/>
        </w:rPr>
      </w:pPr>
      <w:r w:rsidRPr="00314E63">
        <w:rPr>
          <w:rFonts w:ascii="Times New Roman" w:hAnsi="Times New Roman"/>
          <w:szCs w:val="24"/>
        </w:rPr>
        <w:tab/>
      </w:r>
      <w:r w:rsidR="00C752DC">
        <w:rPr>
          <w:rFonts w:ascii="Times New Roman" w:hAnsi="Times New Roman"/>
          <w:szCs w:val="24"/>
        </w:rPr>
        <w:t xml:space="preserve">Ukupni primici u iznosu od </w:t>
      </w:r>
      <w:r w:rsidR="00225715">
        <w:rPr>
          <w:rFonts w:ascii="Times New Roman" w:hAnsi="Times New Roman"/>
          <w:szCs w:val="24"/>
        </w:rPr>
        <w:t>5.626.88</w:t>
      </w:r>
      <w:r w:rsidR="00225715" w:rsidRPr="00BA3C32">
        <w:rPr>
          <w:rFonts w:ascii="Times New Roman" w:hAnsi="Times New Roman"/>
          <w:szCs w:val="24"/>
        </w:rPr>
        <w:t xml:space="preserve"> </w:t>
      </w:r>
      <w:r w:rsidR="00225715">
        <w:rPr>
          <w:rFonts w:ascii="Times New Roman" w:hAnsi="Times New Roman"/>
          <w:szCs w:val="24"/>
        </w:rPr>
        <w:t>eura</w:t>
      </w:r>
      <w:r w:rsidR="00225715" w:rsidRPr="00BA3C32">
        <w:rPr>
          <w:rFonts w:ascii="Times New Roman" w:hAnsi="Times New Roman"/>
          <w:szCs w:val="24"/>
        </w:rPr>
        <w:t xml:space="preserve"> obuhvaća</w:t>
      </w:r>
      <w:r w:rsidR="00C752DC">
        <w:rPr>
          <w:rFonts w:ascii="Times New Roman" w:hAnsi="Times New Roman"/>
          <w:szCs w:val="24"/>
        </w:rPr>
        <w:t>ju</w:t>
      </w:r>
      <w:r w:rsidR="00225715" w:rsidRPr="00BA3C32">
        <w:rPr>
          <w:rFonts w:ascii="Times New Roman" w:hAnsi="Times New Roman"/>
          <w:szCs w:val="24"/>
        </w:rPr>
        <w:t xml:space="preserve"> primljene kredite i zajmove u obračunskom razdoblju</w:t>
      </w:r>
      <w:r w:rsidR="00C752DC">
        <w:rPr>
          <w:rFonts w:ascii="Times New Roman" w:hAnsi="Times New Roman"/>
          <w:szCs w:val="24"/>
        </w:rPr>
        <w:t xml:space="preserve"> koji su raspoređeni po izvorima financiranja</w:t>
      </w:r>
      <w:r w:rsidR="00225715" w:rsidRPr="00BA3C32">
        <w:rPr>
          <w:rFonts w:ascii="Times New Roman" w:hAnsi="Times New Roman"/>
          <w:szCs w:val="24"/>
        </w:rPr>
        <w:t xml:space="preserve">. </w:t>
      </w:r>
    </w:p>
    <w:p w14:paraId="17D642C9" w14:textId="54A30F82" w:rsidR="00225715" w:rsidRPr="00BA3C32" w:rsidRDefault="00C752DC" w:rsidP="00C752DC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Ukupni i</w:t>
      </w:r>
      <w:r w:rsidR="00225715" w:rsidRPr="00BA3C32">
        <w:rPr>
          <w:rFonts w:ascii="Times New Roman" w:hAnsi="Times New Roman"/>
          <w:szCs w:val="24"/>
        </w:rPr>
        <w:t xml:space="preserve">zdaci </w:t>
      </w:r>
      <w:r>
        <w:rPr>
          <w:rFonts w:ascii="Times New Roman" w:hAnsi="Times New Roman"/>
          <w:szCs w:val="24"/>
        </w:rPr>
        <w:t xml:space="preserve">u iznosu od </w:t>
      </w:r>
      <w:r w:rsidR="00225715">
        <w:rPr>
          <w:rFonts w:ascii="Times New Roman" w:hAnsi="Times New Roman"/>
          <w:szCs w:val="24"/>
        </w:rPr>
        <w:t>416.910,73</w:t>
      </w:r>
      <w:r w:rsidR="00225715" w:rsidRPr="00BA3C3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eura</w:t>
      </w:r>
      <w:r w:rsidR="00225715" w:rsidRPr="00BA3C32">
        <w:rPr>
          <w:rFonts w:ascii="Times New Roman" w:hAnsi="Times New Roman"/>
          <w:szCs w:val="24"/>
        </w:rPr>
        <w:t xml:space="preserve"> sadrže prikaz izvora iz kojih se podmiruju krediti. </w:t>
      </w:r>
    </w:p>
    <w:p w14:paraId="323632A0" w14:textId="77777777" w:rsidR="00755E46" w:rsidRDefault="00755E46" w:rsidP="00765F21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AA64BD8" w14:textId="77777777" w:rsidR="00765F21" w:rsidRPr="00BE4E26" w:rsidRDefault="00765F21" w:rsidP="00765F21">
      <w:pPr>
        <w:spacing w:line="276" w:lineRule="auto"/>
        <w:jc w:val="both"/>
        <w:rPr>
          <w:rFonts w:ascii="Times New Roman" w:hAnsi="Times New Roman"/>
          <w:b/>
          <w:i/>
          <w:szCs w:val="24"/>
          <w:highlight w:val="lightGray"/>
        </w:rPr>
      </w:pPr>
    </w:p>
    <w:p w14:paraId="6440F259" w14:textId="334973B1" w:rsidR="00B03FAF" w:rsidRPr="00332F30" w:rsidRDefault="00040C64" w:rsidP="00C021E3">
      <w:pPr>
        <w:spacing w:line="276" w:lineRule="auto"/>
        <w:ind w:firstLine="708"/>
        <w:jc w:val="both"/>
        <w:rPr>
          <w:rFonts w:ascii="Times New Roman" w:hAnsi="Times New Roman"/>
          <w:b/>
          <w:i/>
          <w:szCs w:val="24"/>
        </w:rPr>
      </w:pPr>
      <w:r w:rsidRPr="00332F30">
        <w:rPr>
          <w:rFonts w:ascii="Times New Roman" w:hAnsi="Times New Roman"/>
          <w:b/>
          <w:i/>
          <w:szCs w:val="24"/>
        </w:rPr>
        <w:t xml:space="preserve">Posebni dio </w:t>
      </w:r>
      <w:r w:rsidR="00765F21">
        <w:rPr>
          <w:rFonts w:ascii="Times New Roman" w:hAnsi="Times New Roman"/>
          <w:b/>
          <w:i/>
          <w:szCs w:val="24"/>
        </w:rPr>
        <w:t xml:space="preserve">izvještaja o izvršenju </w:t>
      </w:r>
      <w:r w:rsidR="003B3DFA">
        <w:rPr>
          <w:rFonts w:ascii="Times New Roman" w:hAnsi="Times New Roman"/>
          <w:b/>
          <w:i/>
          <w:szCs w:val="24"/>
        </w:rPr>
        <w:t>P</w:t>
      </w:r>
      <w:r w:rsidR="00765F21">
        <w:rPr>
          <w:rFonts w:ascii="Times New Roman" w:hAnsi="Times New Roman"/>
          <w:b/>
          <w:i/>
          <w:szCs w:val="24"/>
        </w:rPr>
        <w:t>roračuna</w:t>
      </w:r>
    </w:p>
    <w:p w14:paraId="2A9E3273" w14:textId="77777777" w:rsidR="003A0F92" w:rsidRPr="00332F30" w:rsidRDefault="003A0F92" w:rsidP="00CF44D5">
      <w:pPr>
        <w:spacing w:line="276" w:lineRule="auto"/>
        <w:ind w:firstLine="708"/>
        <w:jc w:val="center"/>
        <w:rPr>
          <w:rFonts w:ascii="Times New Roman" w:hAnsi="Times New Roman"/>
          <w:b/>
          <w:szCs w:val="24"/>
        </w:rPr>
      </w:pPr>
    </w:p>
    <w:p w14:paraId="080BBF46" w14:textId="1BA2A838" w:rsidR="00F9596F" w:rsidRDefault="00F9596F" w:rsidP="00D36E19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2F62FF">
        <w:rPr>
          <w:rFonts w:ascii="Times New Roman" w:hAnsi="Times New Roman"/>
          <w:szCs w:val="24"/>
        </w:rPr>
        <w:t xml:space="preserve">Posebni dio Polugodišnjeg izvještaja o izvršenju </w:t>
      </w:r>
      <w:r w:rsidR="003B3DFA">
        <w:rPr>
          <w:rFonts w:ascii="Times New Roman" w:hAnsi="Times New Roman"/>
          <w:szCs w:val="24"/>
        </w:rPr>
        <w:t>P</w:t>
      </w:r>
      <w:r w:rsidRPr="002F62FF">
        <w:rPr>
          <w:rFonts w:ascii="Times New Roman" w:hAnsi="Times New Roman"/>
          <w:szCs w:val="24"/>
        </w:rPr>
        <w:t>roračuna iskazan je po organizacijskoj i programskoj klasifikaciji.</w:t>
      </w:r>
    </w:p>
    <w:p w14:paraId="60B32B91" w14:textId="77777777" w:rsidR="00F9596F" w:rsidRDefault="00F9596F" w:rsidP="00D36E19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</w:p>
    <w:p w14:paraId="00A8775C" w14:textId="49501BCD" w:rsidR="00D36E19" w:rsidRPr="002F62FF" w:rsidRDefault="00F9596F" w:rsidP="00D36E19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Izvještaj po o</w:t>
      </w:r>
      <w:r w:rsidR="00D36E19" w:rsidRPr="002F62FF">
        <w:rPr>
          <w:rFonts w:ascii="Times New Roman" w:hAnsi="Times New Roman"/>
          <w:szCs w:val="24"/>
        </w:rPr>
        <w:t>rganizacijsk</w:t>
      </w:r>
      <w:r>
        <w:rPr>
          <w:rFonts w:ascii="Times New Roman" w:hAnsi="Times New Roman"/>
          <w:szCs w:val="24"/>
        </w:rPr>
        <w:t>oj</w:t>
      </w:r>
      <w:r w:rsidR="00D36E19" w:rsidRPr="002F62FF">
        <w:rPr>
          <w:rFonts w:ascii="Times New Roman" w:hAnsi="Times New Roman"/>
          <w:szCs w:val="24"/>
        </w:rPr>
        <w:t xml:space="preserve"> klasifikacij</w:t>
      </w:r>
      <w:r>
        <w:rPr>
          <w:rFonts w:ascii="Times New Roman" w:hAnsi="Times New Roman"/>
          <w:szCs w:val="24"/>
        </w:rPr>
        <w:t xml:space="preserve">i </w:t>
      </w:r>
      <w:r w:rsidR="00D36E19" w:rsidRPr="002F62FF">
        <w:rPr>
          <w:rFonts w:ascii="Times New Roman" w:hAnsi="Times New Roman"/>
          <w:szCs w:val="24"/>
        </w:rPr>
        <w:t>sadrži prikaz rashoda i izdataka proračuna iskazanih po organizacijskoj klasifikaciji.</w:t>
      </w:r>
    </w:p>
    <w:p w14:paraId="4C95355D" w14:textId="77777777" w:rsidR="00F9596F" w:rsidRDefault="00F9596F" w:rsidP="00D36E19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</w:p>
    <w:p w14:paraId="59F7B041" w14:textId="4A3C2DEF" w:rsidR="00D36E19" w:rsidRDefault="00D36E19" w:rsidP="00D36E19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2F62FF">
        <w:rPr>
          <w:rFonts w:ascii="Times New Roman" w:hAnsi="Times New Roman"/>
          <w:szCs w:val="24"/>
        </w:rPr>
        <w:t>Izvještaj po programskoj klasifikaciji sadrži prikaz rashoda i izdataka proračuna iskazanih po organizacijskoj</w:t>
      </w:r>
      <w:r w:rsidR="00F9596F">
        <w:rPr>
          <w:rFonts w:ascii="Times New Roman" w:hAnsi="Times New Roman"/>
          <w:szCs w:val="24"/>
        </w:rPr>
        <w:t xml:space="preserve"> </w:t>
      </w:r>
      <w:r w:rsidRPr="002F62FF">
        <w:rPr>
          <w:rFonts w:ascii="Times New Roman" w:hAnsi="Times New Roman"/>
          <w:szCs w:val="24"/>
        </w:rPr>
        <w:t>klasifikaciji, izvorima financiranja i ekonomskoj klasifikaciji raspoređenih u programe koji se sastoje od aktivnosti i projekata što je detaljno obrazloženo u obrazloženjima nadležnih upravnih odjela uz posebni dio proračuna.</w:t>
      </w:r>
    </w:p>
    <w:p w14:paraId="793B99FE" w14:textId="77777777" w:rsidR="00C5450A" w:rsidRPr="00BE4E26" w:rsidRDefault="00C5450A" w:rsidP="00AD2356">
      <w:pPr>
        <w:spacing w:line="360" w:lineRule="auto"/>
        <w:ind w:firstLine="708"/>
        <w:jc w:val="both"/>
        <w:rPr>
          <w:rFonts w:ascii="Times New Roman" w:hAnsi="Times New Roman"/>
          <w:szCs w:val="24"/>
          <w:highlight w:val="lightGray"/>
        </w:rPr>
      </w:pPr>
    </w:p>
    <w:p w14:paraId="7E8FA027" w14:textId="77777777" w:rsidR="009357DA" w:rsidRPr="00BE4E26" w:rsidRDefault="009357DA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  <w:highlight w:val="lightGray"/>
        </w:rPr>
      </w:pPr>
    </w:p>
    <w:p w14:paraId="66FFF42C" w14:textId="77777777" w:rsidR="00F4559C" w:rsidRPr="00BE4E26" w:rsidRDefault="00A0327A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  <w:r w:rsidRPr="00BE4E26">
        <w:rPr>
          <w:rFonts w:ascii="Times New Roman" w:hAnsi="Times New Roman"/>
          <w:b/>
          <w:szCs w:val="24"/>
        </w:rPr>
        <w:tab/>
      </w:r>
      <w:r w:rsidR="00F4559C" w:rsidRPr="00BE4E26">
        <w:rPr>
          <w:rFonts w:ascii="Times New Roman" w:hAnsi="Times New Roman"/>
          <w:b/>
          <w:szCs w:val="24"/>
        </w:rPr>
        <w:t xml:space="preserve">SLUŽBENICA KOJA PRIVREMENO </w:t>
      </w:r>
    </w:p>
    <w:p w14:paraId="04472D81" w14:textId="77777777" w:rsidR="00EB0579" w:rsidRPr="00BE4E26" w:rsidRDefault="00F4559C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  <w:r w:rsidRPr="00BE4E26">
        <w:rPr>
          <w:rFonts w:ascii="Times New Roman" w:hAnsi="Times New Roman"/>
          <w:b/>
          <w:szCs w:val="24"/>
        </w:rPr>
        <w:tab/>
        <w:t>OBAVLJA DUŽNOST PROČELNICE</w:t>
      </w:r>
    </w:p>
    <w:p w14:paraId="39A96875" w14:textId="19AA5A30" w:rsidR="00A0327A" w:rsidRDefault="00A0327A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  <w:r w:rsidRPr="00BE4E26">
        <w:rPr>
          <w:rFonts w:ascii="Times New Roman" w:hAnsi="Times New Roman"/>
          <w:b/>
          <w:szCs w:val="24"/>
        </w:rPr>
        <w:tab/>
      </w:r>
      <w:r w:rsidR="00AB4EE9" w:rsidRPr="00BE4E26">
        <w:rPr>
          <w:rFonts w:ascii="Times New Roman" w:hAnsi="Times New Roman"/>
          <w:b/>
          <w:szCs w:val="24"/>
        </w:rPr>
        <w:t>Sanja Feher, mag.</w:t>
      </w:r>
      <w:r w:rsidR="007007E2">
        <w:rPr>
          <w:rFonts w:ascii="Times New Roman" w:hAnsi="Times New Roman"/>
          <w:b/>
          <w:szCs w:val="24"/>
        </w:rPr>
        <w:t xml:space="preserve"> </w:t>
      </w:r>
      <w:proofErr w:type="spellStart"/>
      <w:r w:rsidR="00AB4EE9" w:rsidRPr="00BE4E26">
        <w:rPr>
          <w:rFonts w:ascii="Times New Roman" w:hAnsi="Times New Roman"/>
          <w:b/>
          <w:szCs w:val="24"/>
        </w:rPr>
        <w:t>oec</w:t>
      </w:r>
      <w:proofErr w:type="spellEnd"/>
      <w:r w:rsidR="00AB4EE9" w:rsidRPr="00BE4E26">
        <w:rPr>
          <w:rFonts w:ascii="Times New Roman" w:hAnsi="Times New Roman"/>
          <w:b/>
          <w:szCs w:val="24"/>
        </w:rPr>
        <w:t>.</w:t>
      </w:r>
      <w:r w:rsidR="00411857">
        <w:rPr>
          <w:rFonts w:ascii="Times New Roman" w:hAnsi="Times New Roman"/>
          <w:b/>
          <w:szCs w:val="24"/>
        </w:rPr>
        <w:t>, v.r.</w:t>
      </w:r>
    </w:p>
    <w:p w14:paraId="2C65DE32" w14:textId="77777777" w:rsidR="00915C45" w:rsidRDefault="00915C45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33192BFE" w14:textId="77777777" w:rsidR="00A0327A" w:rsidRDefault="00A0327A" w:rsidP="00A0327A">
      <w:pPr>
        <w:tabs>
          <w:tab w:val="center" w:pos="6804"/>
        </w:tabs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67B980CB" w14:textId="77777777" w:rsidR="00A0327A" w:rsidRDefault="00A0327A" w:rsidP="00F25E69">
      <w:pPr>
        <w:spacing w:line="276" w:lineRule="auto"/>
        <w:ind w:firstLine="70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528EDD90" w14:textId="77777777" w:rsidR="00EB0579" w:rsidRDefault="00EB0579" w:rsidP="00A0327A">
      <w:pPr>
        <w:tabs>
          <w:tab w:val="center" w:pos="6237"/>
        </w:tabs>
        <w:spacing w:line="276" w:lineRule="auto"/>
        <w:ind w:firstLine="708"/>
        <w:jc w:val="center"/>
        <w:rPr>
          <w:rFonts w:ascii="Times New Roman" w:hAnsi="Times New Roman"/>
          <w:b/>
          <w:szCs w:val="24"/>
        </w:rPr>
      </w:pPr>
    </w:p>
    <w:p w14:paraId="4DD6B3C7" w14:textId="77777777" w:rsidR="00EB0579" w:rsidRDefault="00EB0579" w:rsidP="00CF44D5">
      <w:pPr>
        <w:spacing w:line="276" w:lineRule="auto"/>
        <w:ind w:firstLine="708"/>
        <w:jc w:val="center"/>
        <w:rPr>
          <w:rFonts w:ascii="Times New Roman" w:hAnsi="Times New Roman"/>
          <w:b/>
          <w:szCs w:val="24"/>
        </w:rPr>
      </w:pPr>
    </w:p>
    <w:p w14:paraId="417E3DFF" w14:textId="77777777" w:rsidR="009A440F" w:rsidRDefault="009A440F" w:rsidP="00876C33">
      <w:pPr>
        <w:spacing w:line="276" w:lineRule="auto"/>
        <w:rPr>
          <w:rFonts w:ascii="Times New Roman" w:hAnsi="Times New Roman"/>
          <w:b/>
          <w:szCs w:val="24"/>
        </w:rPr>
      </w:pPr>
    </w:p>
    <w:p w14:paraId="56E39FE3" w14:textId="77777777" w:rsidR="00B60E46" w:rsidRPr="004E4519" w:rsidRDefault="00B60E46" w:rsidP="00876C33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sectPr w:rsidR="00B60E46" w:rsidRPr="004E4519" w:rsidSect="00763A05">
      <w:headerReference w:type="even" r:id="rId11"/>
      <w:footerReference w:type="default" r:id="rId12"/>
      <w:footerReference w:type="first" r:id="rId13"/>
      <w:pgSz w:w="11907" w:h="16840" w:code="9"/>
      <w:pgMar w:top="1276" w:right="1134" w:bottom="142" w:left="1134" w:header="62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1C294" w14:textId="77777777" w:rsidR="00C679AB" w:rsidRDefault="00C679AB">
      <w:r>
        <w:separator/>
      </w:r>
    </w:p>
  </w:endnote>
  <w:endnote w:type="continuationSeparator" w:id="0">
    <w:p w14:paraId="5D85632D" w14:textId="77777777" w:rsidR="00C679AB" w:rsidRDefault="00C6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2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3FEB" w14:textId="77777777" w:rsidR="00757CED" w:rsidRDefault="00757CED" w:rsidP="00267D8C">
    <w:pPr>
      <w:pStyle w:val="Footer"/>
    </w:pPr>
    <w:r w:rsidRPr="00A6500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4A99FB0" wp14:editId="6A5FE52C">
              <wp:simplePos x="0" y="0"/>
              <wp:positionH relativeFrom="column">
                <wp:posOffset>-720090</wp:posOffset>
              </wp:positionH>
              <wp:positionV relativeFrom="paragraph">
                <wp:posOffset>229606</wp:posOffset>
              </wp:positionV>
              <wp:extent cx="7524750" cy="2762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6ADC4" w14:textId="77777777" w:rsidR="00757CED" w:rsidRPr="00A65000" w:rsidRDefault="00C679AB" w:rsidP="00267D8C">
                          <w:pPr>
                            <w:pStyle w:val="Footer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1" w:history="1">
                            <w:r w:rsidR="00757CED" w:rsidRPr="00A65000">
                              <w:rPr>
                                <w:rStyle w:val="Hyperlink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757CED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 w:rsidR="00757CED">
                            <w:rPr>
                              <w:color w:val="808080" w:themeColor="background1" w:themeShade="80"/>
                              <w:sz w:val="20"/>
                            </w:rPr>
                            <w:t>,</w:t>
                          </w:r>
                          <w:r w:rsidR="00757CED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1C052E71" w14:textId="77777777" w:rsidR="00757CED" w:rsidRDefault="00757CED" w:rsidP="00267D8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4A99F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6.7pt;margin-top:18.1pt;width:592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n9DAIAAPYDAAAOAAAAZHJzL2Uyb0RvYy54bWysU9tu2zAMfR+wfxD0vjgxkqY14hRdugwD&#10;ugvQ7QNkWY6FyaJGKbG7rx8lu2m2vQ3TgyCK1CF5eLS5HTrDTgq9BlvyxWzOmbISam0PJf/2df/m&#10;mjMfhK2FAatK/qQ8v92+frXpXaFyaMHUChmBWF/0ruRtCK7IMi9b1Qk/A6csORvATgQy8ZDVKHpC&#10;70yWz+dXWQ9YOwSpvKfb+9HJtwm/aZQMn5vGq8BMyam2kHZMexX3bLsRxQGFa7WcyhD/UEUntKWk&#10;Z6h7EQQ7ov4LqtMSwUMTZhK6DJpGS5V6oG4W8z+6eWyFU6kXIse7M03+/8HKT6dH9wVZGN7CQANM&#10;TXj3APK7ZxZ2rbAHdYcIfatETYkXkbKsd76YnkaqfeEjSNV/hJqGLI4BEtDQYBdZoT4ZodMAns6k&#10;qyEwSZfrVb5cr8glyZevr/J8lVKI4vm1Qx/eK+hYPJQcaagJXZwefIjViOI5JCbzYHS918YkAw/V&#10;ziA7CRLAPq0J/bcwY1lf8psV5Y6vLMT3SRudDiRQo7uSX8/jGiUT2Xhn6xQShDbjmSoxdqInMjJy&#10;E4ZqoMBIUwX1ExGFMAqRPg4dWsCfnPUkwpL7H0eBijPzwRLZN4vlMqo2GcvVOicDLz3VpUdYSVAl&#10;D5yNx11ISh87uqOhNDrx9VLJVCuJK9E4fYSo3ks7Rb181+0vAAAA//8DAFBLAwQUAAYACAAAACEA&#10;3zV3meAAAAALAQAADwAAAGRycy9kb3ducmV2LnhtbEyPQW7CMBBF95V6B2uQuqnACdC4pJmgtlIr&#10;tlAOMElMEhGPo9iQcPuaVbsc/af/32TbyXTiqgfXWkaIFxEIzaWtWq4Rjj9f81cQzhNX1FnWCDft&#10;YJs/PmSUVnbkvb4efC1CCbuUEBrv+1RKVzbakFvYXnPITnYw5MM51LIaaAzlppPLKEqkoZbDQkO9&#10;/mx0eT5cDMJpNz6/bMbi2x/Vfp18UKsKe0N8mk3vbyC8nvwfDHf9oA55cCrshSsnOoR5HK/WgUVY&#10;JUsQdyJScQKiQFAbBTLP5P8f8l8AAAD//wMAUEsBAi0AFAAGAAgAAAAhALaDOJL+AAAA4QEAABMA&#10;AAAAAAAAAAAAAAAAAAAAAFtDb250ZW50X1R5cGVzXS54bWxQSwECLQAUAAYACAAAACEAOP0h/9YA&#10;AACUAQAACwAAAAAAAAAAAAAAAAAvAQAAX3JlbHMvLnJlbHNQSwECLQAUAAYACAAAACEA+6C5/QwC&#10;AAD2AwAADgAAAAAAAAAAAAAAAAAuAgAAZHJzL2Uyb0RvYy54bWxQSwECLQAUAAYACAAAACEA3zV3&#10;meAAAAALAQAADwAAAAAAAAAAAAAAAABmBAAAZHJzL2Rvd25yZXYueG1sUEsFBgAAAAAEAAQA8wAA&#10;AHMFAAAAAA==&#10;" stroked="f">
              <v:textbox>
                <w:txbxContent>
                  <w:p w14:paraId="77C6ADC4" w14:textId="77777777" w:rsidR="00757CED" w:rsidRPr="00A65000" w:rsidRDefault="00000000" w:rsidP="00267D8C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2" w:history="1">
                      <w:r w:rsidR="00757CED" w:rsidRPr="00A65000">
                        <w:rPr>
                          <w:rStyle w:val="Hiperveza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757CED" w:rsidRPr="00A65000">
                      <w:rPr>
                        <w:color w:val="808080" w:themeColor="background1" w:themeShade="80"/>
                        <w:sz w:val="20"/>
                      </w:rPr>
                      <w:t xml:space="preserve"> županija, Dr. Ante Starčevića 8, Bjelovar</w:t>
                    </w:r>
                    <w:r w:rsidR="00757CED">
                      <w:rPr>
                        <w:color w:val="808080" w:themeColor="background1" w:themeShade="80"/>
                        <w:sz w:val="20"/>
                      </w:rPr>
                      <w:t>,</w:t>
                    </w:r>
                    <w:r w:rsidR="00757CED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1C052E71" w14:textId="77777777" w:rsidR="00757CED" w:rsidRDefault="00757CED" w:rsidP="00267D8C"/>
                </w:txbxContent>
              </v:textbox>
            </v:shape>
          </w:pict>
        </mc:Fallback>
      </mc:AlternateContent>
    </w:r>
  </w:p>
  <w:p w14:paraId="1E03F0C4" w14:textId="77777777" w:rsidR="00757CED" w:rsidRDefault="00757CED" w:rsidP="00267D8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E7B8B3" wp14:editId="03A5A491">
              <wp:simplePos x="0" y="0"/>
              <wp:positionH relativeFrom="margin">
                <wp:posOffset>168275</wp:posOffset>
              </wp:positionH>
              <wp:positionV relativeFrom="margin">
                <wp:posOffset>8872855</wp:posOffset>
              </wp:positionV>
              <wp:extent cx="575945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1D8FF8FE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13.25pt,698.65pt" to="466.75pt,6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kawQEAAMEDAAAOAAAAZHJzL2Uyb0RvYy54bWysU8FuEzEQvSP1HyzfyW5aAnSVTQ+pygVB&#10;RAt312tnLWyPNTbZzd8z9iZLVaiEEBfLY795M+95vL4ZnWUHhdGAb/lyUXOmvITO+H3Lvz7cvX7P&#10;WUzCd8KCVy0/qshvNhev1kNo1CX0YDuFjEh8bIbQ8j6l0FRVlL1yIi4gKE+XGtCJRCHuqw7FQOzO&#10;Vpd1/bYaALuAIFWMdHo7XfJN4ddayfRZ66gSsy2n3lJZsayPea02a9HsUYTeyFMb4h+6cMJ4KjpT&#10;3Yok2A80v1E5IxEi6LSQ4CrQ2khVNJCaZf1MzX0vgipayJwYZpvi/6OVnw47ZKZr+RVnXjh6ovuE&#10;wuz7xLbgPRkIyK6yT0OIDcG3foenKIYdZtGjRse0NeEbjUCxgYSxsbh8nF1WY2KSDlfvVtdvVvQY&#10;8nxXTRSZKmBMHxQ4ljctt8ZnA0QjDh9jorIEPUMoyC1NTZRdOlqVwdZ/UZpEUbGpnTJOamuRHQQN&#10;Qvd9mQURV0HmFG2snZPqUvLFpBM2p6kyYn+bOKNLRfBpTnTGA/6pahrPreoJf1Y9ac2yH6E7licp&#10;dtCcFGWnmc6D+DQu6b9+3uYnAAAA//8DAFBLAwQUAAYACAAAACEAWtvX6t4AAAAMAQAADwAAAGRy&#10;cy9kb3ducmV2LnhtbEyPwU7DMAyG70i8Q2QkLhNLabVuK00nNIkLHIDBA6StaSsSpzRZl7095oDg&#10;6M+/fn8ud9EaMePkB0cKbpcJCKTGtQN1Ct7fHm42IHzQ1GrjCBWc0cOuurwoddG6E73ifAid4BLy&#10;hVbQhzAWUvqmR6v90o1IvPtwk9WBx6mT7aRPXG6NTJMkl1YPxBd6PeK+x+bzcLQKHp9fFuc05ouv&#10;9arex3lj4pM3Sl1fxfs7EAFj+AvDjz6rQ8VOtTtS64VRkOYrTjLPtusMBCe2Wcao/kWyKuX/J6pv&#10;AAAA//8DAFBLAQItABQABgAIAAAAIQC2gziS/gAAAOEBAAATAAAAAAAAAAAAAAAAAAAAAABbQ29u&#10;dGVudF9UeXBlc10ueG1sUEsBAi0AFAAGAAgAAAAhADj9If/WAAAAlAEAAAsAAAAAAAAAAAAAAAAA&#10;LwEAAF9yZWxzLy5yZWxzUEsBAi0AFAAGAAgAAAAhABgr+RrBAQAAwQMAAA4AAAAAAAAAAAAAAAAA&#10;LgIAAGRycy9lMm9Eb2MueG1sUEsBAi0AFAAGAAgAAAAhAFrb1+reAAAADAEAAA8AAAAAAAAAAAAA&#10;AAAAGwQAAGRycy9kb3ducmV2LnhtbFBLBQYAAAAABAAEAPMAAAAmBQAAAAA=&#10;" strokecolor="black [3040]">
              <w10:wrap anchorx="margin" anchory="margin"/>
            </v:line>
          </w:pict>
        </mc:Fallback>
      </mc:AlternateContent>
    </w:r>
  </w:p>
  <w:p w14:paraId="1838533E" w14:textId="77777777" w:rsidR="00757CED" w:rsidRDefault="00757CED" w:rsidP="00267D8C">
    <w:pPr>
      <w:pStyle w:val="Foo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4A6F3C5" wp14:editId="13E27CAC">
          <wp:simplePos x="0" y="0"/>
          <wp:positionH relativeFrom="margin">
            <wp:posOffset>2674620</wp:posOffset>
          </wp:positionH>
          <wp:positionV relativeFrom="margin">
            <wp:posOffset>9170035</wp:posOffset>
          </wp:positionV>
          <wp:extent cx="971550" cy="537845"/>
          <wp:effectExtent l="0" t="0" r="0" b="0"/>
          <wp:wrapNone/>
          <wp:docPr id="7" name="Picture 7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right" w:leader="none"/>
    </w:r>
  </w:p>
  <w:p w14:paraId="43DE224D" w14:textId="77777777" w:rsidR="00757CED" w:rsidRDefault="00757C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B5D0" w14:textId="77777777" w:rsidR="00757CED" w:rsidRDefault="00757CE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D59D7C" wp14:editId="0807976F">
              <wp:simplePos x="0" y="0"/>
              <wp:positionH relativeFrom="column">
                <wp:posOffset>-715010</wp:posOffset>
              </wp:positionH>
              <wp:positionV relativeFrom="paragraph">
                <wp:posOffset>316312</wp:posOffset>
              </wp:positionV>
              <wp:extent cx="7550590" cy="0"/>
              <wp:effectExtent l="0" t="0" r="3175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05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6ACDC7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3pt,24.9pt" to="538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C1wAEAAMEDAAAOAAAAZHJzL2Uyb0RvYy54bWysU02P2yAQvVfqf0DcN3ZWcj+sOHvIqntZ&#10;tVG37Z3FEKMCgwYaO/++A068VT+karUXxMCbN/Mew+ZmcpYdFUYDvuPrVc2Z8hJ64w8d//rlw9U7&#10;zmISvhcWvOr4SUV+s339ajOGVl3DALZXyIjEx3YMHR9SCm1VRTkoJ+IKgvJ0qQGdSBTioepRjMTu&#10;bHVd12+qEbAPCFLFSKe38yXfFn6tlUyftI4qMdtx6i2VFcv6mNdquxHtAUUYjDy3IZ7RhRPGU9GF&#10;6lYkwX6g+YPKGYkQQaeVBFeB1kaqooHUrOvf1DwMIqiihcyJYbEpvhyt/HjcIzN9xxvOvHD0RA8J&#10;hTkMie3AezIQkDXZpzHEluA7v8dzFMMes+hJo2PamvCNRqDYQMLYVFw+LS6rKTFJh2+bpm7e02PI&#10;y101U2SqgDHdKXAsbzpujc8GiFYc72OisgS9QCjILc1NlF06WZXB1n9WmkRRsbmdMk5qZ5EdBQ1C&#10;/32dBRFXQeYUbaxdkupS8p9JZ2xOU2XE/jdxQZeK4NOS6IwH/FvVNF1a1TP+onrWmmU/Qn8qT1Ls&#10;oDkpys4znQfx17ikP/287U8AAAD//wMAUEsDBBQABgAIAAAAIQCMGkUM4AAAAAsBAAAPAAAAZHJz&#10;L2Rvd25yZXYueG1sTI9BTsMwEEX3SNzBGiQ2Veskomkb4lSoEhtYUAoHcOJpEmGPQ+ym7u1xxQKW&#10;M/P05/1yG4xmE46utyQgXSTAkBqremoFfH48z9fAnJekpLaEAi7oYFvd3pSyUPZM7zgdfMtiCLlC&#10;Cui8HwrOXdOhkW5hB6R4O9rRSB/HseVqlOcYbjTPkiTnRvYUP3RywF2HzdfhZAS8vO1nlyzks+/V&#10;st6Faa3Dq9NC3N+Fp0dgHoP/g+GqH9Whik61PZFyTAuYp2mWR1bAwyZ2uBLJKl8Cq383vCr5/w7V&#10;DwAAAP//AwBQSwECLQAUAAYACAAAACEAtoM4kv4AAADhAQAAEwAAAAAAAAAAAAAAAAAAAAAAW0Nv&#10;bnRlbnRfVHlwZXNdLnhtbFBLAQItABQABgAIAAAAIQA4/SH/1gAAAJQBAAALAAAAAAAAAAAAAAAA&#10;AC8BAABfcmVscy8ucmVsc1BLAQItABQABgAIAAAAIQDyE4C1wAEAAMEDAAAOAAAAAAAAAAAAAAAA&#10;AC4CAABkcnMvZTJvRG9jLnhtbFBLAQItABQABgAIAAAAIQCMGkUM4AAAAAsBAAAPAAAAAAAAAAAA&#10;AAAAABoEAABkcnMvZG93bnJldi54bWxQSwUGAAAAAAQABADzAAAAJwUAAAAA&#10;" strokecolor="black [3040]"/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6493AB1" wp14:editId="625D6912">
          <wp:simplePos x="0" y="0"/>
          <wp:positionH relativeFrom="margin">
            <wp:posOffset>2678430</wp:posOffset>
          </wp:positionH>
          <wp:positionV relativeFrom="margin">
            <wp:posOffset>9062720</wp:posOffset>
          </wp:positionV>
          <wp:extent cx="971550" cy="537845"/>
          <wp:effectExtent l="0" t="0" r="0" b="0"/>
          <wp:wrapNone/>
          <wp:docPr id="8" name="Picture 1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5000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494D066" wp14:editId="4C0BB25E">
              <wp:simplePos x="0" y="0"/>
              <wp:positionH relativeFrom="column">
                <wp:posOffset>-720090</wp:posOffset>
              </wp:positionH>
              <wp:positionV relativeFrom="paragraph">
                <wp:posOffset>317500</wp:posOffset>
              </wp:positionV>
              <wp:extent cx="7524750" cy="2762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9B5AD1" w14:textId="77777777" w:rsidR="00757CED" w:rsidRPr="00A65000" w:rsidRDefault="00C679AB" w:rsidP="00A65000">
                          <w:pPr>
                            <w:pStyle w:val="Footer"/>
                            <w:jc w:val="center"/>
                            <w:rPr>
                              <w:color w:val="808080" w:themeColor="background1" w:themeShade="80"/>
                              <w:sz w:val="20"/>
                            </w:rPr>
                          </w:pPr>
                          <w:hyperlink r:id="rId2" w:history="1">
                            <w:r w:rsidR="00757CED" w:rsidRPr="00A65000">
                              <w:rPr>
                                <w:rStyle w:val="Hyperlink"/>
                                <w:color w:val="808080" w:themeColor="background1" w:themeShade="80"/>
                                <w:sz w:val="20"/>
                                <w:u w:val="none"/>
                              </w:rPr>
                              <w:t>Bjelovarsko-bilogorska</w:t>
                            </w:r>
                          </w:hyperlink>
                          <w:r w:rsidR="00757CED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županija, Dr. Ante Starčevića 8, Bjelovar</w:t>
                          </w:r>
                          <w:r w:rsidR="00757CED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,   </w:t>
                          </w:r>
                          <w:r w:rsidR="00757CED" w:rsidRPr="00A65000">
                            <w:rPr>
                              <w:color w:val="808080" w:themeColor="background1" w:themeShade="80"/>
                              <w:sz w:val="20"/>
                            </w:rPr>
                            <w:t xml:space="preserve"> www.bbz.hr</w:t>
                          </w:r>
                        </w:p>
                        <w:p w14:paraId="79F7BE71" w14:textId="77777777" w:rsidR="00757CED" w:rsidRDefault="00757CE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494D06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6.7pt;margin-top:25pt;width:592.5pt;height:2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ahLDgIAAP0DAAAOAAAAZHJzL2Uyb0RvYy54bWysU9tu2zAMfR+wfxD0vjgxkqY14hRdugwD&#10;ugvQ7QNkWY6FyaJGKbG7rx8lu2m2vQ3TgyCK4iF5eLS5HTrDTgq9BlvyxWzOmbISam0PJf/2df/m&#10;mjMfhK2FAatK/qQ8v92+frXpXaFyaMHUChmBWF/0ruRtCK7IMi9b1Qk/A6csORvATgQy8ZDVKHpC&#10;70yWz+dXWQ9YOwSpvKfb+9HJtwm/aZQMn5vGq8BMyam2kHZMexX3bLsRxQGFa7WcyhD/UEUntKWk&#10;Z6h7EQQ7ov4LqtMSwUMTZhK6DJpGS5V6oG4W8z+6eWyFU6kXIse7M03+/8HKT6dH9wVZGN7CQANM&#10;TXj3APK7ZxZ2rbAHdYcIfatETYkXkbKsd76YQiPVvvARpOo/Qk1DFscACWhosIusUJ+M0GkAT2fS&#10;1RCYpMv1Kl+uV+SS5MvXV3m+SilE8Rzt0If3CjoWDyVHGmpCF6cHH2I1onh+EpN5MLrea2OSgYdq&#10;Z5CdBAlgn9aE/tszY1lf8psV5Y5RFmJ80kanAwnU6K7k1/O4RslENt7ZOj0JQpvxTJUYO9ETGRm5&#10;CUM1MF1P3EW2KqifiC+EUY/0f+jQAv7krCctltz/OApUnJkPlji/WSyXUbzJWK7WORl46akuPcJK&#10;gip54Gw87kIS/NjYHc2m0Ym2l0qmkkljic3pP0QRX9rp1cuv3f4CAAD//wMAUEsDBBQABgAIAAAA&#10;IQCmiB9U3wAAAAsBAAAPAAAAZHJzL2Rvd25yZXYueG1sTI/RToNAEEXfTfyHzZj4YtoFW8AiQ6Mm&#10;Gl9b+wELOwUiO0vYbaF/7/bJPk7m5N5zi+1senGm0XWWEeJlBIK4trrjBuHw87l4AeG8Yq16y4Rw&#10;IQfb8v6uULm2E+/ovPeNCCHscoXQej/kUrq6JaPc0g7E4Xe0o1E+nGMj9aimEG56+RxFqTSq49DQ&#10;qoE+Wqp/9yeDcPyenpLNVH35Q7Zbp++qyyp7QXx8mN9eQXia/T8MV/2gDmVwquyJtRM9wiKOV+vA&#10;IiRRGHUloixOQVQIm1UCsizk7YbyDwAA//8DAFBLAQItABQABgAIAAAAIQC2gziS/gAAAOEBAAAT&#10;AAAAAAAAAAAAAAAAAAAAAABbQ29udGVudF9UeXBlc10ueG1sUEsBAi0AFAAGAAgAAAAhADj9If/W&#10;AAAAlAEAAAsAAAAAAAAAAAAAAAAALwEAAF9yZWxzLy5yZWxzUEsBAi0AFAAGAAgAAAAhAP5JqEsO&#10;AgAA/QMAAA4AAAAAAAAAAAAAAAAALgIAAGRycy9lMm9Eb2MueG1sUEsBAi0AFAAGAAgAAAAhAKaI&#10;H1TfAAAACwEAAA8AAAAAAAAAAAAAAAAAaAQAAGRycy9kb3ducmV2LnhtbFBLBQYAAAAABAAEAPMA&#10;AAB0BQAAAAA=&#10;" stroked="f">
              <v:textbox>
                <w:txbxContent>
                  <w:p w14:paraId="039B5AD1" w14:textId="77777777" w:rsidR="00757CED" w:rsidRPr="00A65000" w:rsidRDefault="00000000" w:rsidP="00A65000">
                    <w:pPr>
                      <w:pStyle w:val="Podnoje"/>
                      <w:jc w:val="center"/>
                      <w:rPr>
                        <w:color w:val="808080" w:themeColor="background1" w:themeShade="80"/>
                        <w:sz w:val="20"/>
                      </w:rPr>
                    </w:pPr>
                    <w:hyperlink r:id="rId3" w:history="1">
                      <w:r w:rsidR="00757CED" w:rsidRPr="00A65000">
                        <w:rPr>
                          <w:rStyle w:val="Hiperveza"/>
                          <w:color w:val="808080" w:themeColor="background1" w:themeShade="80"/>
                          <w:sz w:val="20"/>
                          <w:u w:val="none"/>
                        </w:rPr>
                        <w:t>Bjelovarsko-bilogorska</w:t>
                      </w:r>
                    </w:hyperlink>
                    <w:r w:rsidR="00757CED" w:rsidRPr="00A65000">
                      <w:rPr>
                        <w:color w:val="808080" w:themeColor="background1" w:themeShade="80"/>
                        <w:sz w:val="20"/>
                      </w:rPr>
                      <w:t xml:space="preserve"> županija, Dr. Ante Starčevića 8, Bjelovar</w:t>
                    </w:r>
                    <w:r w:rsidR="00757CED">
                      <w:rPr>
                        <w:color w:val="808080" w:themeColor="background1" w:themeShade="80"/>
                        <w:sz w:val="20"/>
                      </w:rPr>
                      <w:t xml:space="preserve">,   </w:t>
                    </w:r>
                    <w:r w:rsidR="00757CED" w:rsidRPr="00A65000">
                      <w:rPr>
                        <w:color w:val="808080" w:themeColor="background1" w:themeShade="80"/>
                        <w:sz w:val="20"/>
                      </w:rPr>
                      <w:t xml:space="preserve"> www.bbz.hr</w:t>
                    </w:r>
                  </w:p>
                  <w:p w14:paraId="79F7BE71" w14:textId="77777777" w:rsidR="00757CED" w:rsidRDefault="00757CED"/>
                </w:txbxContent>
              </v:textbox>
              <w10:wrap type="square"/>
            </v:shape>
          </w:pict>
        </mc:Fallback>
      </mc:AlternateContent>
    </w:r>
  </w:p>
  <w:p w14:paraId="3EB0AD4D" w14:textId="77777777" w:rsidR="00757CED" w:rsidRDefault="00757CED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EC71A" w14:textId="77777777" w:rsidR="00C679AB" w:rsidRDefault="00C679AB">
      <w:r>
        <w:separator/>
      </w:r>
    </w:p>
  </w:footnote>
  <w:footnote w:type="continuationSeparator" w:id="0">
    <w:p w14:paraId="6734603D" w14:textId="77777777" w:rsidR="00C679AB" w:rsidRDefault="00C67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B672" w14:textId="77777777" w:rsidR="00757CED" w:rsidRDefault="00757CE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7DFF8A" w14:textId="77777777" w:rsidR="00757CED" w:rsidRDefault="00757C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5EFC"/>
    <w:multiLevelType w:val="hybridMultilevel"/>
    <w:tmpl w:val="2732038C"/>
    <w:lvl w:ilvl="0" w:tplc="4B8A6FC4">
      <w:start w:val="10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3A740C8"/>
    <w:multiLevelType w:val="hybridMultilevel"/>
    <w:tmpl w:val="ACEC6978"/>
    <w:lvl w:ilvl="0" w:tplc="1EA2B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961FC8"/>
    <w:multiLevelType w:val="hybridMultilevel"/>
    <w:tmpl w:val="4580BFE4"/>
    <w:lvl w:ilvl="0" w:tplc="749862B6">
      <w:start w:val="1"/>
      <w:numFmt w:val="decimal"/>
      <w:lvlText w:val="%1."/>
      <w:lvlJc w:val="left"/>
      <w:pPr>
        <w:ind w:left="6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665" w:hanging="360"/>
      </w:pPr>
    </w:lvl>
    <w:lvl w:ilvl="2" w:tplc="041A001B" w:tentative="1">
      <w:start w:val="1"/>
      <w:numFmt w:val="lowerRoman"/>
      <w:lvlText w:val="%3."/>
      <w:lvlJc w:val="right"/>
      <w:pPr>
        <w:ind w:left="8385" w:hanging="180"/>
      </w:pPr>
    </w:lvl>
    <w:lvl w:ilvl="3" w:tplc="041A000F" w:tentative="1">
      <w:start w:val="1"/>
      <w:numFmt w:val="decimal"/>
      <w:lvlText w:val="%4."/>
      <w:lvlJc w:val="left"/>
      <w:pPr>
        <w:ind w:left="9105" w:hanging="360"/>
      </w:pPr>
    </w:lvl>
    <w:lvl w:ilvl="4" w:tplc="041A0019" w:tentative="1">
      <w:start w:val="1"/>
      <w:numFmt w:val="lowerLetter"/>
      <w:lvlText w:val="%5."/>
      <w:lvlJc w:val="left"/>
      <w:pPr>
        <w:ind w:left="9825" w:hanging="360"/>
      </w:pPr>
    </w:lvl>
    <w:lvl w:ilvl="5" w:tplc="041A001B" w:tentative="1">
      <w:start w:val="1"/>
      <w:numFmt w:val="lowerRoman"/>
      <w:lvlText w:val="%6."/>
      <w:lvlJc w:val="right"/>
      <w:pPr>
        <w:ind w:left="10545" w:hanging="180"/>
      </w:pPr>
    </w:lvl>
    <w:lvl w:ilvl="6" w:tplc="041A000F" w:tentative="1">
      <w:start w:val="1"/>
      <w:numFmt w:val="decimal"/>
      <w:lvlText w:val="%7."/>
      <w:lvlJc w:val="left"/>
      <w:pPr>
        <w:ind w:left="11265" w:hanging="360"/>
      </w:pPr>
    </w:lvl>
    <w:lvl w:ilvl="7" w:tplc="041A0019" w:tentative="1">
      <w:start w:val="1"/>
      <w:numFmt w:val="lowerLetter"/>
      <w:lvlText w:val="%8."/>
      <w:lvlJc w:val="left"/>
      <w:pPr>
        <w:ind w:left="11985" w:hanging="360"/>
      </w:pPr>
    </w:lvl>
    <w:lvl w:ilvl="8" w:tplc="041A001B" w:tentative="1">
      <w:start w:val="1"/>
      <w:numFmt w:val="lowerRoman"/>
      <w:lvlText w:val="%9."/>
      <w:lvlJc w:val="right"/>
      <w:pPr>
        <w:ind w:left="12705" w:hanging="180"/>
      </w:pPr>
    </w:lvl>
  </w:abstractNum>
  <w:abstractNum w:abstractNumId="3" w15:restartNumberingAfterBreak="0">
    <w:nsid w:val="0BA61212"/>
    <w:multiLevelType w:val="hybridMultilevel"/>
    <w:tmpl w:val="15DE6644"/>
    <w:lvl w:ilvl="0" w:tplc="93BAD5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F67618"/>
    <w:multiLevelType w:val="hybridMultilevel"/>
    <w:tmpl w:val="5DC84082"/>
    <w:lvl w:ilvl="0" w:tplc="319691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87579"/>
    <w:multiLevelType w:val="hybridMultilevel"/>
    <w:tmpl w:val="B1DE39AA"/>
    <w:lvl w:ilvl="0" w:tplc="F1BAFC40">
      <w:numFmt w:val="bullet"/>
      <w:lvlText w:val="-"/>
      <w:lvlJc w:val="left"/>
      <w:pPr>
        <w:ind w:left="1140" w:hanging="360"/>
      </w:pPr>
      <w:rPr>
        <w:rFonts w:ascii="CRO_Century_Schoolbk-Normal" w:eastAsia="Times New Roman" w:hAnsi="CRO_Century_Schoolbk-Norma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34240F5B"/>
    <w:multiLevelType w:val="hybridMultilevel"/>
    <w:tmpl w:val="E9A87C58"/>
    <w:lvl w:ilvl="0" w:tplc="03D41460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3B8A5D75"/>
    <w:multiLevelType w:val="hybridMultilevel"/>
    <w:tmpl w:val="BA303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23F15"/>
    <w:multiLevelType w:val="hybridMultilevel"/>
    <w:tmpl w:val="D3F85D66"/>
    <w:lvl w:ilvl="0" w:tplc="041A000F">
      <w:start w:val="1"/>
      <w:numFmt w:val="decimal"/>
      <w:lvlText w:val="%1.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138B3"/>
    <w:multiLevelType w:val="hybridMultilevel"/>
    <w:tmpl w:val="B5C48E74"/>
    <w:lvl w:ilvl="0" w:tplc="3A6492F8">
      <w:start w:val="10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 w15:restartNumberingAfterBreak="0">
    <w:nsid w:val="47B35979"/>
    <w:multiLevelType w:val="hybridMultilevel"/>
    <w:tmpl w:val="1A7C57A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70D7D"/>
    <w:multiLevelType w:val="hybridMultilevel"/>
    <w:tmpl w:val="195057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D6F32"/>
    <w:multiLevelType w:val="hybridMultilevel"/>
    <w:tmpl w:val="F7260904"/>
    <w:lvl w:ilvl="0" w:tplc="93BAD53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45B1E"/>
    <w:multiLevelType w:val="hybridMultilevel"/>
    <w:tmpl w:val="82BCCE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0073E"/>
    <w:multiLevelType w:val="hybridMultilevel"/>
    <w:tmpl w:val="83B8B5C0"/>
    <w:lvl w:ilvl="0" w:tplc="CD3E6C12">
      <w:start w:val="1"/>
      <w:numFmt w:val="upperLetter"/>
      <w:lvlText w:val="%1."/>
      <w:lvlJc w:val="left"/>
      <w:pPr>
        <w:ind w:left="80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745" w:hanging="360"/>
      </w:pPr>
    </w:lvl>
    <w:lvl w:ilvl="2" w:tplc="041A001B" w:tentative="1">
      <w:start w:val="1"/>
      <w:numFmt w:val="lowerRoman"/>
      <w:lvlText w:val="%3."/>
      <w:lvlJc w:val="right"/>
      <w:pPr>
        <w:ind w:left="9465" w:hanging="180"/>
      </w:pPr>
    </w:lvl>
    <w:lvl w:ilvl="3" w:tplc="041A000F" w:tentative="1">
      <w:start w:val="1"/>
      <w:numFmt w:val="decimal"/>
      <w:lvlText w:val="%4."/>
      <w:lvlJc w:val="left"/>
      <w:pPr>
        <w:ind w:left="10185" w:hanging="360"/>
      </w:pPr>
    </w:lvl>
    <w:lvl w:ilvl="4" w:tplc="041A0019" w:tentative="1">
      <w:start w:val="1"/>
      <w:numFmt w:val="lowerLetter"/>
      <w:lvlText w:val="%5."/>
      <w:lvlJc w:val="left"/>
      <w:pPr>
        <w:ind w:left="10905" w:hanging="360"/>
      </w:pPr>
    </w:lvl>
    <w:lvl w:ilvl="5" w:tplc="041A001B" w:tentative="1">
      <w:start w:val="1"/>
      <w:numFmt w:val="lowerRoman"/>
      <w:lvlText w:val="%6."/>
      <w:lvlJc w:val="right"/>
      <w:pPr>
        <w:ind w:left="11625" w:hanging="180"/>
      </w:pPr>
    </w:lvl>
    <w:lvl w:ilvl="6" w:tplc="041A000F" w:tentative="1">
      <w:start w:val="1"/>
      <w:numFmt w:val="decimal"/>
      <w:lvlText w:val="%7."/>
      <w:lvlJc w:val="left"/>
      <w:pPr>
        <w:ind w:left="12345" w:hanging="360"/>
      </w:pPr>
    </w:lvl>
    <w:lvl w:ilvl="7" w:tplc="041A0019" w:tentative="1">
      <w:start w:val="1"/>
      <w:numFmt w:val="lowerLetter"/>
      <w:lvlText w:val="%8."/>
      <w:lvlJc w:val="left"/>
      <w:pPr>
        <w:ind w:left="13065" w:hanging="360"/>
      </w:pPr>
    </w:lvl>
    <w:lvl w:ilvl="8" w:tplc="041A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 w15:restartNumberingAfterBreak="0">
    <w:nsid w:val="4F931228"/>
    <w:multiLevelType w:val="hybridMultilevel"/>
    <w:tmpl w:val="467A318A"/>
    <w:lvl w:ilvl="0" w:tplc="F41C5786">
      <w:start w:val="1"/>
      <w:numFmt w:val="upperLetter"/>
      <w:lvlText w:val="%1."/>
      <w:lvlJc w:val="left"/>
      <w:pPr>
        <w:ind w:left="7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740" w:hanging="360"/>
      </w:pPr>
    </w:lvl>
    <w:lvl w:ilvl="2" w:tplc="041A001B" w:tentative="1">
      <w:start w:val="1"/>
      <w:numFmt w:val="lowerRoman"/>
      <w:lvlText w:val="%3."/>
      <w:lvlJc w:val="right"/>
      <w:pPr>
        <w:ind w:left="8460" w:hanging="180"/>
      </w:pPr>
    </w:lvl>
    <w:lvl w:ilvl="3" w:tplc="041A000F" w:tentative="1">
      <w:start w:val="1"/>
      <w:numFmt w:val="decimal"/>
      <w:lvlText w:val="%4."/>
      <w:lvlJc w:val="left"/>
      <w:pPr>
        <w:ind w:left="9180" w:hanging="360"/>
      </w:pPr>
    </w:lvl>
    <w:lvl w:ilvl="4" w:tplc="041A0019" w:tentative="1">
      <w:start w:val="1"/>
      <w:numFmt w:val="lowerLetter"/>
      <w:lvlText w:val="%5."/>
      <w:lvlJc w:val="left"/>
      <w:pPr>
        <w:ind w:left="9900" w:hanging="360"/>
      </w:pPr>
    </w:lvl>
    <w:lvl w:ilvl="5" w:tplc="041A001B" w:tentative="1">
      <w:start w:val="1"/>
      <w:numFmt w:val="lowerRoman"/>
      <w:lvlText w:val="%6."/>
      <w:lvlJc w:val="right"/>
      <w:pPr>
        <w:ind w:left="10620" w:hanging="180"/>
      </w:pPr>
    </w:lvl>
    <w:lvl w:ilvl="6" w:tplc="041A000F" w:tentative="1">
      <w:start w:val="1"/>
      <w:numFmt w:val="decimal"/>
      <w:lvlText w:val="%7."/>
      <w:lvlJc w:val="left"/>
      <w:pPr>
        <w:ind w:left="11340" w:hanging="360"/>
      </w:pPr>
    </w:lvl>
    <w:lvl w:ilvl="7" w:tplc="041A0019" w:tentative="1">
      <w:start w:val="1"/>
      <w:numFmt w:val="lowerLetter"/>
      <w:lvlText w:val="%8."/>
      <w:lvlJc w:val="left"/>
      <w:pPr>
        <w:ind w:left="12060" w:hanging="360"/>
      </w:pPr>
    </w:lvl>
    <w:lvl w:ilvl="8" w:tplc="041A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6" w15:restartNumberingAfterBreak="0">
    <w:nsid w:val="50685F1B"/>
    <w:multiLevelType w:val="hybridMultilevel"/>
    <w:tmpl w:val="3F6A24CC"/>
    <w:lvl w:ilvl="0" w:tplc="32E4D8B6">
      <w:start w:val="1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020" w:hanging="360"/>
      </w:pPr>
    </w:lvl>
    <w:lvl w:ilvl="2" w:tplc="041A001B" w:tentative="1">
      <w:start w:val="1"/>
      <w:numFmt w:val="lowerRoman"/>
      <w:lvlText w:val="%3."/>
      <w:lvlJc w:val="right"/>
      <w:pPr>
        <w:ind w:left="7740" w:hanging="180"/>
      </w:pPr>
    </w:lvl>
    <w:lvl w:ilvl="3" w:tplc="041A000F" w:tentative="1">
      <w:start w:val="1"/>
      <w:numFmt w:val="decimal"/>
      <w:lvlText w:val="%4."/>
      <w:lvlJc w:val="left"/>
      <w:pPr>
        <w:ind w:left="8460" w:hanging="360"/>
      </w:pPr>
    </w:lvl>
    <w:lvl w:ilvl="4" w:tplc="041A0019" w:tentative="1">
      <w:start w:val="1"/>
      <w:numFmt w:val="lowerLetter"/>
      <w:lvlText w:val="%5."/>
      <w:lvlJc w:val="left"/>
      <w:pPr>
        <w:ind w:left="9180" w:hanging="360"/>
      </w:pPr>
    </w:lvl>
    <w:lvl w:ilvl="5" w:tplc="041A001B" w:tentative="1">
      <w:start w:val="1"/>
      <w:numFmt w:val="lowerRoman"/>
      <w:lvlText w:val="%6."/>
      <w:lvlJc w:val="right"/>
      <w:pPr>
        <w:ind w:left="9900" w:hanging="180"/>
      </w:pPr>
    </w:lvl>
    <w:lvl w:ilvl="6" w:tplc="041A000F" w:tentative="1">
      <w:start w:val="1"/>
      <w:numFmt w:val="decimal"/>
      <w:lvlText w:val="%7."/>
      <w:lvlJc w:val="left"/>
      <w:pPr>
        <w:ind w:left="10620" w:hanging="360"/>
      </w:pPr>
    </w:lvl>
    <w:lvl w:ilvl="7" w:tplc="041A0019" w:tentative="1">
      <w:start w:val="1"/>
      <w:numFmt w:val="lowerLetter"/>
      <w:lvlText w:val="%8."/>
      <w:lvlJc w:val="left"/>
      <w:pPr>
        <w:ind w:left="11340" w:hanging="360"/>
      </w:pPr>
    </w:lvl>
    <w:lvl w:ilvl="8" w:tplc="041A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17" w15:restartNumberingAfterBreak="0">
    <w:nsid w:val="5CCD75BA"/>
    <w:multiLevelType w:val="hybridMultilevel"/>
    <w:tmpl w:val="5A5839EE"/>
    <w:lvl w:ilvl="0" w:tplc="47DACAF2">
      <w:start w:val="43"/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8" w15:restartNumberingAfterBreak="0">
    <w:nsid w:val="5DD035E0"/>
    <w:multiLevelType w:val="hybridMultilevel"/>
    <w:tmpl w:val="051C5254"/>
    <w:lvl w:ilvl="0" w:tplc="6450CA94">
      <w:start w:val="1"/>
      <w:numFmt w:val="upperLetter"/>
      <w:lvlText w:val="%1."/>
      <w:lvlJc w:val="left"/>
      <w:pPr>
        <w:ind w:left="7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35" w:hanging="360"/>
      </w:pPr>
    </w:lvl>
    <w:lvl w:ilvl="2" w:tplc="041A001B" w:tentative="1">
      <w:start w:val="1"/>
      <w:numFmt w:val="lowerRoman"/>
      <w:lvlText w:val="%3."/>
      <w:lvlJc w:val="right"/>
      <w:pPr>
        <w:ind w:left="9255" w:hanging="180"/>
      </w:pPr>
    </w:lvl>
    <w:lvl w:ilvl="3" w:tplc="041A000F" w:tentative="1">
      <w:start w:val="1"/>
      <w:numFmt w:val="decimal"/>
      <w:lvlText w:val="%4."/>
      <w:lvlJc w:val="left"/>
      <w:pPr>
        <w:ind w:left="9975" w:hanging="360"/>
      </w:pPr>
    </w:lvl>
    <w:lvl w:ilvl="4" w:tplc="041A0019" w:tentative="1">
      <w:start w:val="1"/>
      <w:numFmt w:val="lowerLetter"/>
      <w:lvlText w:val="%5."/>
      <w:lvlJc w:val="left"/>
      <w:pPr>
        <w:ind w:left="10695" w:hanging="360"/>
      </w:pPr>
    </w:lvl>
    <w:lvl w:ilvl="5" w:tplc="041A001B" w:tentative="1">
      <w:start w:val="1"/>
      <w:numFmt w:val="lowerRoman"/>
      <w:lvlText w:val="%6."/>
      <w:lvlJc w:val="right"/>
      <w:pPr>
        <w:ind w:left="11415" w:hanging="180"/>
      </w:pPr>
    </w:lvl>
    <w:lvl w:ilvl="6" w:tplc="041A000F" w:tentative="1">
      <w:start w:val="1"/>
      <w:numFmt w:val="decimal"/>
      <w:lvlText w:val="%7."/>
      <w:lvlJc w:val="left"/>
      <w:pPr>
        <w:ind w:left="12135" w:hanging="360"/>
      </w:pPr>
    </w:lvl>
    <w:lvl w:ilvl="7" w:tplc="041A0019" w:tentative="1">
      <w:start w:val="1"/>
      <w:numFmt w:val="lowerLetter"/>
      <w:lvlText w:val="%8."/>
      <w:lvlJc w:val="left"/>
      <w:pPr>
        <w:ind w:left="12855" w:hanging="360"/>
      </w:pPr>
    </w:lvl>
    <w:lvl w:ilvl="8" w:tplc="041A001B" w:tentative="1">
      <w:start w:val="1"/>
      <w:numFmt w:val="lowerRoman"/>
      <w:lvlText w:val="%9."/>
      <w:lvlJc w:val="right"/>
      <w:pPr>
        <w:ind w:left="13575" w:hanging="180"/>
      </w:pPr>
    </w:lvl>
  </w:abstractNum>
  <w:abstractNum w:abstractNumId="19" w15:restartNumberingAfterBreak="0">
    <w:nsid w:val="61473080"/>
    <w:multiLevelType w:val="hybridMultilevel"/>
    <w:tmpl w:val="89841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81E94"/>
    <w:multiLevelType w:val="hybridMultilevel"/>
    <w:tmpl w:val="002608B2"/>
    <w:lvl w:ilvl="0" w:tplc="F0B29170">
      <w:start w:val="43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1" w15:restartNumberingAfterBreak="0">
    <w:nsid w:val="685D1043"/>
    <w:multiLevelType w:val="hybridMultilevel"/>
    <w:tmpl w:val="66207232"/>
    <w:lvl w:ilvl="0" w:tplc="26061D1E">
      <w:start w:val="43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2" w15:restartNumberingAfterBreak="0">
    <w:nsid w:val="6AEB0707"/>
    <w:multiLevelType w:val="hybridMultilevel"/>
    <w:tmpl w:val="4DB23CDC"/>
    <w:lvl w:ilvl="0" w:tplc="B35C63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D3675C4"/>
    <w:multiLevelType w:val="hybridMultilevel"/>
    <w:tmpl w:val="409643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7141C"/>
    <w:multiLevelType w:val="singleLevel"/>
    <w:tmpl w:val="5510D1A2"/>
    <w:lvl w:ilvl="0">
      <w:start w:val="7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06C2CC6"/>
    <w:multiLevelType w:val="multilevel"/>
    <w:tmpl w:val="147E7B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6" w15:restartNumberingAfterBreak="0">
    <w:nsid w:val="74617C73"/>
    <w:multiLevelType w:val="hybridMultilevel"/>
    <w:tmpl w:val="5652159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1F14F7"/>
    <w:multiLevelType w:val="hybridMultilevel"/>
    <w:tmpl w:val="F4F6270A"/>
    <w:lvl w:ilvl="0" w:tplc="E996CE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23540"/>
    <w:multiLevelType w:val="hybridMultilevel"/>
    <w:tmpl w:val="B3020244"/>
    <w:lvl w:ilvl="0" w:tplc="8F88F9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9" w15:restartNumberingAfterBreak="0">
    <w:nsid w:val="7B1C2C8B"/>
    <w:multiLevelType w:val="hybridMultilevel"/>
    <w:tmpl w:val="462EE0F6"/>
    <w:lvl w:ilvl="0" w:tplc="5E72C208">
      <w:start w:val="43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0" w15:restartNumberingAfterBreak="0">
    <w:nsid w:val="7D690437"/>
    <w:multiLevelType w:val="hybridMultilevel"/>
    <w:tmpl w:val="F60E2722"/>
    <w:lvl w:ilvl="0" w:tplc="1B54D82E">
      <w:start w:val="4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F6D42C1"/>
    <w:multiLevelType w:val="hybridMultilevel"/>
    <w:tmpl w:val="61D49246"/>
    <w:lvl w:ilvl="0" w:tplc="041A000F">
      <w:start w:val="1"/>
      <w:numFmt w:val="decimal"/>
      <w:lvlText w:val="%1.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9"/>
  </w:num>
  <w:num w:numId="3">
    <w:abstractNumId w:val="20"/>
  </w:num>
  <w:num w:numId="4">
    <w:abstractNumId w:val="21"/>
  </w:num>
  <w:num w:numId="5">
    <w:abstractNumId w:val="17"/>
  </w:num>
  <w:num w:numId="6">
    <w:abstractNumId w:val="2"/>
  </w:num>
  <w:num w:numId="7">
    <w:abstractNumId w:val="18"/>
  </w:num>
  <w:num w:numId="8">
    <w:abstractNumId w:val="14"/>
  </w:num>
  <w:num w:numId="9">
    <w:abstractNumId w:val="15"/>
  </w:num>
  <w:num w:numId="10">
    <w:abstractNumId w:val="16"/>
  </w:num>
  <w:num w:numId="11">
    <w:abstractNumId w:val="0"/>
  </w:num>
  <w:num w:numId="12">
    <w:abstractNumId w:val="9"/>
  </w:num>
  <w:num w:numId="13">
    <w:abstractNumId w:val="4"/>
  </w:num>
  <w:num w:numId="14">
    <w:abstractNumId w:val="5"/>
  </w:num>
  <w:num w:numId="15">
    <w:abstractNumId w:val="30"/>
  </w:num>
  <w:num w:numId="16">
    <w:abstractNumId w:val="25"/>
  </w:num>
  <w:num w:numId="17">
    <w:abstractNumId w:val="11"/>
  </w:num>
  <w:num w:numId="18">
    <w:abstractNumId w:val="26"/>
  </w:num>
  <w:num w:numId="19">
    <w:abstractNumId w:val="10"/>
  </w:num>
  <w:num w:numId="20">
    <w:abstractNumId w:val="3"/>
  </w:num>
  <w:num w:numId="21">
    <w:abstractNumId w:val="7"/>
  </w:num>
  <w:num w:numId="22">
    <w:abstractNumId w:val="1"/>
  </w:num>
  <w:num w:numId="23">
    <w:abstractNumId w:val="31"/>
  </w:num>
  <w:num w:numId="24">
    <w:abstractNumId w:val="8"/>
  </w:num>
  <w:num w:numId="25">
    <w:abstractNumId w:val="13"/>
  </w:num>
  <w:num w:numId="26">
    <w:abstractNumId w:val="23"/>
  </w:num>
  <w:num w:numId="27">
    <w:abstractNumId w:val="27"/>
  </w:num>
  <w:num w:numId="28">
    <w:abstractNumId w:val="19"/>
  </w:num>
  <w:num w:numId="29">
    <w:abstractNumId w:val="22"/>
  </w:num>
  <w:num w:numId="30">
    <w:abstractNumId w:val="28"/>
  </w:num>
  <w:num w:numId="31">
    <w:abstractNumId w:val="12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81"/>
    <w:rsid w:val="00000C81"/>
    <w:rsid w:val="00001076"/>
    <w:rsid w:val="00001BF3"/>
    <w:rsid w:val="00002584"/>
    <w:rsid w:val="00002917"/>
    <w:rsid w:val="00003FB5"/>
    <w:rsid w:val="00004152"/>
    <w:rsid w:val="00004288"/>
    <w:rsid w:val="00004BDB"/>
    <w:rsid w:val="000063E6"/>
    <w:rsid w:val="00007DC6"/>
    <w:rsid w:val="000102F7"/>
    <w:rsid w:val="000110B8"/>
    <w:rsid w:val="00011454"/>
    <w:rsid w:val="000126ED"/>
    <w:rsid w:val="00012EDC"/>
    <w:rsid w:val="000141C1"/>
    <w:rsid w:val="00014D10"/>
    <w:rsid w:val="000162A7"/>
    <w:rsid w:val="00016778"/>
    <w:rsid w:val="00016ABB"/>
    <w:rsid w:val="00016D53"/>
    <w:rsid w:val="0001723B"/>
    <w:rsid w:val="000176DE"/>
    <w:rsid w:val="000202E0"/>
    <w:rsid w:val="00021852"/>
    <w:rsid w:val="000218FC"/>
    <w:rsid w:val="00021F24"/>
    <w:rsid w:val="00023439"/>
    <w:rsid w:val="00023F38"/>
    <w:rsid w:val="0002410A"/>
    <w:rsid w:val="0002438C"/>
    <w:rsid w:val="0002500D"/>
    <w:rsid w:val="00025522"/>
    <w:rsid w:val="00025C90"/>
    <w:rsid w:val="0002668C"/>
    <w:rsid w:val="000266FB"/>
    <w:rsid w:val="0002753F"/>
    <w:rsid w:val="00027ECF"/>
    <w:rsid w:val="00031305"/>
    <w:rsid w:val="00033263"/>
    <w:rsid w:val="00036050"/>
    <w:rsid w:val="00036BA1"/>
    <w:rsid w:val="00037E3E"/>
    <w:rsid w:val="00040C64"/>
    <w:rsid w:val="000425AA"/>
    <w:rsid w:val="00043F32"/>
    <w:rsid w:val="00043FB5"/>
    <w:rsid w:val="000444E7"/>
    <w:rsid w:val="00045510"/>
    <w:rsid w:val="000509CF"/>
    <w:rsid w:val="00051573"/>
    <w:rsid w:val="00051860"/>
    <w:rsid w:val="00051DA8"/>
    <w:rsid w:val="0005260B"/>
    <w:rsid w:val="00052F84"/>
    <w:rsid w:val="000535AF"/>
    <w:rsid w:val="000537B8"/>
    <w:rsid w:val="00054C5E"/>
    <w:rsid w:val="00054DF3"/>
    <w:rsid w:val="00056D4E"/>
    <w:rsid w:val="0005709A"/>
    <w:rsid w:val="00060424"/>
    <w:rsid w:val="0006217E"/>
    <w:rsid w:val="00063FCA"/>
    <w:rsid w:val="00064907"/>
    <w:rsid w:val="000673DC"/>
    <w:rsid w:val="0007022C"/>
    <w:rsid w:val="0007049D"/>
    <w:rsid w:val="000715D7"/>
    <w:rsid w:val="000719C6"/>
    <w:rsid w:val="00071EC9"/>
    <w:rsid w:val="00072DC6"/>
    <w:rsid w:val="00073292"/>
    <w:rsid w:val="00075197"/>
    <w:rsid w:val="00075A9F"/>
    <w:rsid w:val="00076E3B"/>
    <w:rsid w:val="00077EAB"/>
    <w:rsid w:val="000809AB"/>
    <w:rsid w:val="000813C6"/>
    <w:rsid w:val="000815EA"/>
    <w:rsid w:val="000825E0"/>
    <w:rsid w:val="00082634"/>
    <w:rsid w:val="0008273D"/>
    <w:rsid w:val="000830D5"/>
    <w:rsid w:val="00084280"/>
    <w:rsid w:val="000849A9"/>
    <w:rsid w:val="00085313"/>
    <w:rsid w:val="00086B13"/>
    <w:rsid w:val="00086C50"/>
    <w:rsid w:val="00087737"/>
    <w:rsid w:val="00087ADA"/>
    <w:rsid w:val="00087F06"/>
    <w:rsid w:val="000911F2"/>
    <w:rsid w:val="00092DDE"/>
    <w:rsid w:val="00092EE1"/>
    <w:rsid w:val="000936FC"/>
    <w:rsid w:val="0009387C"/>
    <w:rsid w:val="00093E69"/>
    <w:rsid w:val="000947F3"/>
    <w:rsid w:val="00094ED4"/>
    <w:rsid w:val="0009602D"/>
    <w:rsid w:val="000964C7"/>
    <w:rsid w:val="00097147"/>
    <w:rsid w:val="000A01A3"/>
    <w:rsid w:val="000A0ED2"/>
    <w:rsid w:val="000A1B15"/>
    <w:rsid w:val="000A315D"/>
    <w:rsid w:val="000A4DB6"/>
    <w:rsid w:val="000A509A"/>
    <w:rsid w:val="000A6208"/>
    <w:rsid w:val="000A771B"/>
    <w:rsid w:val="000B081F"/>
    <w:rsid w:val="000B0FB7"/>
    <w:rsid w:val="000B1A5C"/>
    <w:rsid w:val="000B1EC7"/>
    <w:rsid w:val="000B20D7"/>
    <w:rsid w:val="000B24F9"/>
    <w:rsid w:val="000B3676"/>
    <w:rsid w:val="000B3ADC"/>
    <w:rsid w:val="000B451F"/>
    <w:rsid w:val="000B54BC"/>
    <w:rsid w:val="000B5E5C"/>
    <w:rsid w:val="000B6710"/>
    <w:rsid w:val="000B711D"/>
    <w:rsid w:val="000B74D9"/>
    <w:rsid w:val="000B7D13"/>
    <w:rsid w:val="000B7D84"/>
    <w:rsid w:val="000C0984"/>
    <w:rsid w:val="000C4B1A"/>
    <w:rsid w:val="000C4BA8"/>
    <w:rsid w:val="000C4EFF"/>
    <w:rsid w:val="000C5356"/>
    <w:rsid w:val="000C6B00"/>
    <w:rsid w:val="000C74CB"/>
    <w:rsid w:val="000D0053"/>
    <w:rsid w:val="000D0131"/>
    <w:rsid w:val="000D1D31"/>
    <w:rsid w:val="000D35B5"/>
    <w:rsid w:val="000D3C45"/>
    <w:rsid w:val="000D4273"/>
    <w:rsid w:val="000D6161"/>
    <w:rsid w:val="000E1DB2"/>
    <w:rsid w:val="000E41C2"/>
    <w:rsid w:val="000E4474"/>
    <w:rsid w:val="000E5B84"/>
    <w:rsid w:val="000E61B5"/>
    <w:rsid w:val="000F02C1"/>
    <w:rsid w:val="000F0BB3"/>
    <w:rsid w:val="000F1224"/>
    <w:rsid w:val="000F12FD"/>
    <w:rsid w:val="000F1708"/>
    <w:rsid w:val="000F2BCC"/>
    <w:rsid w:val="000F5081"/>
    <w:rsid w:val="000F50C3"/>
    <w:rsid w:val="000F521D"/>
    <w:rsid w:val="001009E8"/>
    <w:rsid w:val="001012B4"/>
    <w:rsid w:val="00101A2D"/>
    <w:rsid w:val="0010227A"/>
    <w:rsid w:val="00102888"/>
    <w:rsid w:val="00102E04"/>
    <w:rsid w:val="00103766"/>
    <w:rsid w:val="00104CE9"/>
    <w:rsid w:val="0010561A"/>
    <w:rsid w:val="00106578"/>
    <w:rsid w:val="00106724"/>
    <w:rsid w:val="001075F2"/>
    <w:rsid w:val="00107FDD"/>
    <w:rsid w:val="001104D3"/>
    <w:rsid w:val="00110A66"/>
    <w:rsid w:val="00111579"/>
    <w:rsid w:val="00111E0D"/>
    <w:rsid w:val="00112408"/>
    <w:rsid w:val="001130EF"/>
    <w:rsid w:val="00113B72"/>
    <w:rsid w:val="001147BA"/>
    <w:rsid w:val="0011528D"/>
    <w:rsid w:val="00115D79"/>
    <w:rsid w:val="001161DC"/>
    <w:rsid w:val="001163C1"/>
    <w:rsid w:val="0011777F"/>
    <w:rsid w:val="00117A9D"/>
    <w:rsid w:val="001211DB"/>
    <w:rsid w:val="00121D54"/>
    <w:rsid w:val="00122031"/>
    <w:rsid w:val="001237E8"/>
    <w:rsid w:val="00124549"/>
    <w:rsid w:val="00125C75"/>
    <w:rsid w:val="0012617D"/>
    <w:rsid w:val="001266A1"/>
    <w:rsid w:val="001277CC"/>
    <w:rsid w:val="001301D1"/>
    <w:rsid w:val="0013213A"/>
    <w:rsid w:val="00132633"/>
    <w:rsid w:val="001334A3"/>
    <w:rsid w:val="001339BF"/>
    <w:rsid w:val="00134CAB"/>
    <w:rsid w:val="00136A69"/>
    <w:rsid w:val="00136EDC"/>
    <w:rsid w:val="0014030E"/>
    <w:rsid w:val="00140A83"/>
    <w:rsid w:val="0014182D"/>
    <w:rsid w:val="00143C6D"/>
    <w:rsid w:val="00145EF6"/>
    <w:rsid w:val="00146EE2"/>
    <w:rsid w:val="001478A5"/>
    <w:rsid w:val="0015069E"/>
    <w:rsid w:val="00151D8B"/>
    <w:rsid w:val="001522C0"/>
    <w:rsid w:val="00152426"/>
    <w:rsid w:val="001527C2"/>
    <w:rsid w:val="00154AAF"/>
    <w:rsid w:val="00155418"/>
    <w:rsid w:val="00155A4A"/>
    <w:rsid w:val="00156108"/>
    <w:rsid w:val="001574B9"/>
    <w:rsid w:val="00157F73"/>
    <w:rsid w:val="0016000F"/>
    <w:rsid w:val="001611BB"/>
    <w:rsid w:val="0016190B"/>
    <w:rsid w:val="00165D14"/>
    <w:rsid w:val="00172217"/>
    <w:rsid w:val="001723C8"/>
    <w:rsid w:val="00173981"/>
    <w:rsid w:val="00173A77"/>
    <w:rsid w:val="00173CC0"/>
    <w:rsid w:val="0017474D"/>
    <w:rsid w:val="00174C63"/>
    <w:rsid w:val="00176163"/>
    <w:rsid w:val="001762EB"/>
    <w:rsid w:val="00176D50"/>
    <w:rsid w:val="0017736E"/>
    <w:rsid w:val="0018101F"/>
    <w:rsid w:val="001816ED"/>
    <w:rsid w:val="00181BBF"/>
    <w:rsid w:val="00182381"/>
    <w:rsid w:val="001849C8"/>
    <w:rsid w:val="00186039"/>
    <w:rsid w:val="00186349"/>
    <w:rsid w:val="00186584"/>
    <w:rsid w:val="0018678D"/>
    <w:rsid w:val="0018682E"/>
    <w:rsid w:val="00187265"/>
    <w:rsid w:val="00187789"/>
    <w:rsid w:val="00191303"/>
    <w:rsid w:val="00192C5C"/>
    <w:rsid w:val="001937E6"/>
    <w:rsid w:val="00193C92"/>
    <w:rsid w:val="00197A3B"/>
    <w:rsid w:val="00197BDA"/>
    <w:rsid w:val="00197E22"/>
    <w:rsid w:val="001A055B"/>
    <w:rsid w:val="001A069E"/>
    <w:rsid w:val="001A1BFE"/>
    <w:rsid w:val="001A3FE1"/>
    <w:rsid w:val="001A4554"/>
    <w:rsid w:val="001A5C86"/>
    <w:rsid w:val="001A63B1"/>
    <w:rsid w:val="001A6A66"/>
    <w:rsid w:val="001A6F89"/>
    <w:rsid w:val="001B0848"/>
    <w:rsid w:val="001B1C88"/>
    <w:rsid w:val="001B3264"/>
    <w:rsid w:val="001B3344"/>
    <w:rsid w:val="001B50DC"/>
    <w:rsid w:val="001C0D15"/>
    <w:rsid w:val="001C0DB9"/>
    <w:rsid w:val="001C1957"/>
    <w:rsid w:val="001C1DE0"/>
    <w:rsid w:val="001C25F7"/>
    <w:rsid w:val="001C3BCB"/>
    <w:rsid w:val="001C3D3F"/>
    <w:rsid w:val="001C4247"/>
    <w:rsid w:val="001C4F29"/>
    <w:rsid w:val="001C5583"/>
    <w:rsid w:val="001C5C30"/>
    <w:rsid w:val="001C5FD7"/>
    <w:rsid w:val="001C675C"/>
    <w:rsid w:val="001C7768"/>
    <w:rsid w:val="001D0430"/>
    <w:rsid w:val="001D164D"/>
    <w:rsid w:val="001D24C5"/>
    <w:rsid w:val="001D2CB8"/>
    <w:rsid w:val="001D47CB"/>
    <w:rsid w:val="001D5218"/>
    <w:rsid w:val="001E1197"/>
    <w:rsid w:val="001E42F0"/>
    <w:rsid w:val="001E493A"/>
    <w:rsid w:val="001E4B05"/>
    <w:rsid w:val="001E58E1"/>
    <w:rsid w:val="001E711C"/>
    <w:rsid w:val="001E73EA"/>
    <w:rsid w:val="001F1C2D"/>
    <w:rsid w:val="001F1D64"/>
    <w:rsid w:val="001F2459"/>
    <w:rsid w:val="001F39B6"/>
    <w:rsid w:val="001F55A1"/>
    <w:rsid w:val="001F6933"/>
    <w:rsid w:val="001F7944"/>
    <w:rsid w:val="001F7EA4"/>
    <w:rsid w:val="00200030"/>
    <w:rsid w:val="00201397"/>
    <w:rsid w:val="0020196A"/>
    <w:rsid w:val="00202B4C"/>
    <w:rsid w:val="00203B66"/>
    <w:rsid w:val="00205039"/>
    <w:rsid w:val="00206945"/>
    <w:rsid w:val="002078BA"/>
    <w:rsid w:val="002078D7"/>
    <w:rsid w:val="00207E18"/>
    <w:rsid w:val="00210620"/>
    <w:rsid w:val="0021133A"/>
    <w:rsid w:val="00211E1C"/>
    <w:rsid w:val="0021317A"/>
    <w:rsid w:val="00214640"/>
    <w:rsid w:val="00215CCA"/>
    <w:rsid w:val="00216E9D"/>
    <w:rsid w:val="002178BB"/>
    <w:rsid w:val="0022492F"/>
    <w:rsid w:val="00224FBF"/>
    <w:rsid w:val="00225715"/>
    <w:rsid w:val="00226887"/>
    <w:rsid w:val="00230A05"/>
    <w:rsid w:val="00231FC3"/>
    <w:rsid w:val="00232DC1"/>
    <w:rsid w:val="00234230"/>
    <w:rsid w:val="0023499B"/>
    <w:rsid w:val="00234BE8"/>
    <w:rsid w:val="002359ED"/>
    <w:rsid w:val="002376A0"/>
    <w:rsid w:val="00237EF0"/>
    <w:rsid w:val="00241C22"/>
    <w:rsid w:val="002426B2"/>
    <w:rsid w:val="002442E0"/>
    <w:rsid w:val="00244A7C"/>
    <w:rsid w:val="00245D12"/>
    <w:rsid w:val="00246C98"/>
    <w:rsid w:val="0024758D"/>
    <w:rsid w:val="0025128A"/>
    <w:rsid w:val="002514B0"/>
    <w:rsid w:val="00251580"/>
    <w:rsid w:val="0025179D"/>
    <w:rsid w:val="002521ED"/>
    <w:rsid w:val="00253212"/>
    <w:rsid w:val="002538D1"/>
    <w:rsid w:val="002547FB"/>
    <w:rsid w:val="00255433"/>
    <w:rsid w:val="00257585"/>
    <w:rsid w:val="00257D2C"/>
    <w:rsid w:val="00260D93"/>
    <w:rsid w:val="00261632"/>
    <w:rsid w:val="00262B7B"/>
    <w:rsid w:val="0026507C"/>
    <w:rsid w:val="00267008"/>
    <w:rsid w:val="002670EF"/>
    <w:rsid w:val="00267A02"/>
    <w:rsid w:val="00267D8C"/>
    <w:rsid w:val="002712AB"/>
    <w:rsid w:val="00271F2F"/>
    <w:rsid w:val="00274511"/>
    <w:rsid w:val="00275847"/>
    <w:rsid w:val="002762C3"/>
    <w:rsid w:val="00276F96"/>
    <w:rsid w:val="00281E7F"/>
    <w:rsid w:val="002825B6"/>
    <w:rsid w:val="00282972"/>
    <w:rsid w:val="00284148"/>
    <w:rsid w:val="00284A99"/>
    <w:rsid w:val="00284DFC"/>
    <w:rsid w:val="00285A04"/>
    <w:rsid w:val="00285CEE"/>
    <w:rsid w:val="002865A5"/>
    <w:rsid w:val="002872D2"/>
    <w:rsid w:val="00290065"/>
    <w:rsid w:val="00290567"/>
    <w:rsid w:val="00290C29"/>
    <w:rsid w:val="0029106D"/>
    <w:rsid w:val="0029139C"/>
    <w:rsid w:val="002914E1"/>
    <w:rsid w:val="00292F39"/>
    <w:rsid w:val="00293F8D"/>
    <w:rsid w:val="00294051"/>
    <w:rsid w:val="002950B9"/>
    <w:rsid w:val="002953F6"/>
    <w:rsid w:val="002972CA"/>
    <w:rsid w:val="002975C7"/>
    <w:rsid w:val="00297CBD"/>
    <w:rsid w:val="002A0A30"/>
    <w:rsid w:val="002A1513"/>
    <w:rsid w:val="002A17B1"/>
    <w:rsid w:val="002A1965"/>
    <w:rsid w:val="002A2DD2"/>
    <w:rsid w:val="002A31FA"/>
    <w:rsid w:val="002A3421"/>
    <w:rsid w:val="002A4132"/>
    <w:rsid w:val="002A5C62"/>
    <w:rsid w:val="002A5EE1"/>
    <w:rsid w:val="002A70FC"/>
    <w:rsid w:val="002A75EB"/>
    <w:rsid w:val="002A7D18"/>
    <w:rsid w:val="002A7D3C"/>
    <w:rsid w:val="002B0B4C"/>
    <w:rsid w:val="002B215F"/>
    <w:rsid w:val="002B38F5"/>
    <w:rsid w:val="002B4696"/>
    <w:rsid w:val="002B4D14"/>
    <w:rsid w:val="002B501B"/>
    <w:rsid w:val="002B74DA"/>
    <w:rsid w:val="002C2EF3"/>
    <w:rsid w:val="002C34EC"/>
    <w:rsid w:val="002C371B"/>
    <w:rsid w:val="002C3FB6"/>
    <w:rsid w:val="002C47B8"/>
    <w:rsid w:val="002C5688"/>
    <w:rsid w:val="002C587E"/>
    <w:rsid w:val="002C599D"/>
    <w:rsid w:val="002C6236"/>
    <w:rsid w:val="002C6558"/>
    <w:rsid w:val="002C7BBB"/>
    <w:rsid w:val="002D003C"/>
    <w:rsid w:val="002D0BA9"/>
    <w:rsid w:val="002D1AD9"/>
    <w:rsid w:val="002D213B"/>
    <w:rsid w:val="002D2BA7"/>
    <w:rsid w:val="002D325B"/>
    <w:rsid w:val="002D69A5"/>
    <w:rsid w:val="002D6ADE"/>
    <w:rsid w:val="002D776D"/>
    <w:rsid w:val="002E17A7"/>
    <w:rsid w:val="002E1946"/>
    <w:rsid w:val="002E19C9"/>
    <w:rsid w:val="002E1BCD"/>
    <w:rsid w:val="002E3F43"/>
    <w:rsid w:val="002E472C"/>
    <w:rsid w:val="002E562F"/>
    <w:rsid w:val="002E70DD"/>
    <w:rsid w:val="002E71BB"/>
    <w:rsid w:val="002E7E1A"/>
    <w:rsid w:val="002F0BFE"/>
    <w:rsid w:val="002F1F8D"/>
    <w:rsid w:val="002F241F"/>
    <w:rsid w:val="002F32AB"/>
    <w:rsid w:val="002F55C5"/>
    <w:rsid w:val="002F5B99"/>
    <w:rsid w:val="002F790F"/>
    <w:rsid w:val="002F7C07"/>
    <w:rsid w:val="0030027C"/>
    <w:rsid w:val="00301E1F"/>
    <w:rsid w:val="00302B1E"/>
    <w:rsid w:val="00305FA3"/>
    <w:rsid w:val="00306293"/>
    <w:rsid w:val="003063EE"/>
    <w:rsid w:val="00307FA5"/>
    <w:rsid w:val="0031057C"/>
    <w:rsid w:val="003109D0"/>
    <w:rsid w:val="00311796"/>
    <w:rsid w:val="00311F84"/>
    <w:rsid w:val="00313286"/>
    <w:rsid w:val="0031359A"/>
    <w:rsid w:val="00313C67"/>
    <w:rsid w:val="00314120"/>
    <w:rsid w:val="00314BD7"/>
    <w:rsid w:val="00314D3A"/>
    <w:rsid w:val="00314E63"/>
    <w:rsid w:val="003150C2"/>
    <w:rsid w:val="00315203"/>
    <w:rsid w:val="00316562"/>
    <w:rsid w:val="00317475"/>
    <w:rsid w:val="00320138"/>
    <w:rsid w:val="00320E01"/>
    <w:rsid w:val="0032156B"/>
    <w:rsid w:val="00321D65"/>
    <w:rsid w:val="00322C1C"/>
    <w:rsid w:val="00322CDE"/>
    <w:rsid w:val="0032323D"/>
    <w:rsid w:val="00323537"/>
    <w:rsid w:val="00323D6D"/>
    <w:rsid w:val="00323DF8"/>
    <w:rsid w:val="0032439A"/>
    <w:rsid w:val="0032497A"/>
    <w:rsid w:val="00325F95"/>
    <w:rsid w:val="00327384"/>
    <w:rsid w:val="00331043"/>
    <w:rsid w:val="00332F30"/>
    <w:rsid w:val="00333AA2"/>
    <w:rsid w:val="00333EBC"/>
    <w:rsid w:val="00333EDD"/>
    <w:rsid w:val="00335615"/>
    <w:rsid w:val="00337CFD"/>
    <w:rsid w:val="00337D91"/>
    <w:rsid w:val="00341195"/>
    <w:rsid w:val="0034260B"/>
    <w:rsid w:val="003455C0"/>
    <w:rsid w:val="00345A4F"/>
    <w:rsid w:val="00346943"/>
    <w:rsid w:val="00346F6D"/>
    <w:rsid w:val="003470D3"/>
    <w:rsid w:val="0034714A"/>
    <w:rsid w:val="003471F5"/>
    <w:rsid w:val="0034773E"/>
    <w:rsid w:val="00347CC3"/>
    <w:rsid w:val="003501DF"/>
    <w:rsid w:val="003502EC"/>
    <w:rsid w:val="003506AA"/>
    <w:rsid w:val="00350E3D"/>
    <w:rsid w:val="00351D9D"/>
    <w:rsid w:val="00352509"/>
    <w:rsid w:val="00352E98"/>
    <w:rsid w:val="0035353F"/>
    <w:rsid w:val="00354544"/>
    <w:rsid w:val="003550E5"/>
    <w:rsid w:val="003603E3"/>
    <w:rsid w:val="00360BC5"/>
    <w:rsid w:val="00360C4B"/>
    <w:rsid w:val="00361163"/>
    <w:rsid w:val="003612D0"/>
    <w:rsid w:val="003637DD"/>
    <w:rsid w:val="00363BDB"/>
    <w:rsid w:val="00365335"/>
    <w:rsid w:val="00365B7B"/>
    <w:rsid w:val="0036617F"/>
    <w:rsid w:val="00367F6C"/>
    <w:rsid w:val="00370CD0"/>
    <w:rsid w:val="0037161A"/>
    <w:rsid w:val="00371C95"/>
    <w:rsid w:val="0037370B"/>
    <w:rsid w:val="003745FB"/>
    <w:rsid w:val="0037463E"/>
    <w:rsid w:val="003761A8"/>
    <w:rsid w:val="003765C4"/>
    <w:rsid w:val="00376A8E"/>
    <w:rsid w:val="00376C11"/>
    <w:rsid w:val="00377207"/>
    <w:rsid w:val="0037761F"/>
    <w:rsid w:val="003777F0"/>
    <w:rsid w:val="003804D9"/>
    <w:rsid w:val="00380D6E"/>
    <w:rsid w:val="00381C6C"/>
    <w:rsid w:val="00385263"/>
    <w:rsid w:val="00386AC7"/>
    <w:rsid w:val="00387724"/>
    <w:rsid w:val="00387C91"/>
    <w:rsid w:val="00392791"/>
    <w:rsid w:val="0039397B"/>
    <w:rsid w:val="00393E16"/>
    <w:rsid w:val="003960DC"/>
    <w:rsid w:val="00396918"/>
    <w:rsid w:val="00396DD1"/>
    <w:rsid w:val="00397471"/>
    <w:rsid w:val="003A0F92"/>
    <w:rsid w:val="003A126D"/>
    <w:rsid w:val="003A1DE1"/>
    <w:rsid w:val="003A4264"/>
    <w:rsid w:val="003A4894"/>
    <w:rsid w:val="003A4F1C"/>
    <w:rsid w:val="003A5071"/>
    <w:rsid w:val="003A5A01"/>
    <w:rsid w:val="003A6A30"/>
    <w:rsid w:val="003A7025"/>
    <w:rsid w:val="003A7DCF"/>
    <w:rsid w:val="003B072B"/>
    <w:rsid w:val="003B299A"/>
    <w:rsid w:val="003B2CA6"/>
    <w:rsid w:val="003B38FD"/>
    <w:rsid w:val="003B3DFA"/>
    <w:rsid w:val="003B45F3"/>
    <w:rsid w:val="003C115B"/>
    <w:rsid w:val="003C244F"/>
    <w:rsid w:val="003C260F"/>
    <w:rsid w:val="003C6823"/>
    <w:rsid w:val="003C79B2"/>
    <w:rsid w:val="003D23BE"/>
    <w:rsid w:val="003D24DA"/>
    <w:rsid w:val="003D28E5"/>
    <w:rsid w:val="003D4F1C"/>
    <w:rsid w:val="003D6D50"/>
    <w:rsid w:val="003D7331"/>
    <w:rsid w:val="003E2F1D"/>
    <w:rsid w:val="003E4A97"/>
    <w:rsid w:val="003E4AE7"/>
    <w:rsid w:val="003E5A3B"/>
    <w:rsid w:val="003E5F2A"/>
    <w:rsid w:val="003E6673"/>
    <w:rsid w:val="003E6E72"/>
    <w:rsid w:val="003F0085"/>
    <w:rsid w:val="003F0C81"/>
    <w:rsid w:val="003F1174"/>
    <w:rsid w:val="003F1DBF"/>
    <w:rsid w:val="003F3056"/>
    <w:rsid w:val="003F43D9"/>
    <w:rsid w:val="003F44E1"/>
    <w:rsid w:val="003F4959"/>
    <w:rsid w:val="003F5E18"/>
    <w:rsid w:val="003F61D1"/>
    <w:rsid w:val="003F6366"/>
    <w:rsid w:val="003F6498"/>
    <w:rsid w:val="00401B33"/>
    <w:rsid w:val="00402184"/>
    <w:rsid w:val="004022CB"/>
    <w:rsid w:val="00402606"/>
    <w:rsid w:val="00402A9B"/>
    <w:rsid w:val="00404FA1"/>
    <w:rsid w:val="00411857"/>
    <w:rsid w:val="004118F1"/>
    <w:rsid w:val="0041292C"/>
    <w:rsid w:val="0041450F"/>
    <w:rsid w:val="00421153"/>
    <w:rsid w:val="004223A5"/>
    <w:rsid w:val="004223DE"/>
    <w:rsid w:val="0042571D"/>
    <w:rsid w:val="004264C6"/>
    <w:rsid w:val="00426DC9"/>
    <w:rsid w:val="00430A30"/>
    <w:rsid w:val="0043162A"/>
    <w:rsid w:val="00432623"/>
    <w:rsid w:val="00434036"/>
    <w:rsid w:val="00435678"/>
    <w:rsid w:val="00435C37"/>
    <w:rsid w:val="0043648B"/>
    <w:rsid w:val="0043744D"/>
    <w:rsid w:val="00437DCC"/>
    <w:rsid w:val="004403AF"/>
    <w:rsid w:val="00441E7F"/>
    <w:rsid w:val="0044253F"/>
    <w:rsid w:val="00442C21"/>
    <w:rsid w:val="00442F0E"/>
    <w:rsid w:val="00443B45"/>
    <w:rsid w:val="00443C8A"/>
    <w:rsid w:val="004443B1"/>
    <w:rsid w:val="0045002B"/>
    <w:rsid w:val="004506B1"/>
    <w:rsid w:val="004525C7"/>
    <w:rsid w:val="00452A07"/>
    <w:rsid w:val="0045466C"/>
    <w:rsid w:val="004561EF"/>
    <w:rsid w:val="004569C8"/>
    <w:rsid w:val="00456EE5"/>
    <w:rsid w:val="00460D7E"/>
    <w:rsid w:val="004630DD"/>
    <w:rsid w:val="004645AC"/>
    <w:rsid w:val="0046512C"/>
    <w:rsid w:val="004651A4"/>
    <w:rsid w:val="00467100"/>
    <w:rsid w:val="004671DE"/>
    <w:rsid w:val="0047047C"/>
    <w:rsid w:val="00470D68"/>
    <w:rsid w:val="00471081"/>
    <w:rsid w:val="00471812"/>
    <w:rsid w:val="00471DC5"/>
    <w:rsid w:val="00471F8C"/>
    <w:rsid w:val="004761AE"/>
    <w:rsid w:val="004761F5"/>
    <w:rsid w:val="00476E8E"/>
    <w:rsid w:val="004772C6"/>
    <w:rsid w:val="00480818"/>
    <w:rsid w:val="00480E1C"/>
    <w:rsid w:val="004813B8"/>
    <w:rsid w:val="00481811"/>
    <w:rsid w:val="00482569"/>
    <w:rsid w:val="00484A1F"/>
    <w:rsid w:val="00486405"/>
    <w:rsid w:val="00487492"/>
    <w:rsid w:val="00487D42"/>
    <w:rsid w:val="0049053C"/>
    <w:rsid w:val="0049066E"/>
    <w:rsid w:val="00490860"/>
    <w:rsid w:val="004912DF"/>
    <w:rsid w:val="004913BF"/>
    <w:rsid w:val="00491DD3"/>
    <w:rsid w:val="00492A52"/>
    <w:rsid w:val="004938FC"/>
    <w:rsid w:val="004946DC"/>
    <w:rsid w:val="00496D1B"/>
    <w:rsid w:val="00496DE0"/>
    <w:rsid w:val="00496F2E"/>
    <w:rsid w:val="00497D16"/>
    <w:rsid w:val="004A0151"/>
    <w:rsid w:val="004A11FD"/>
    <w:rsid w:val="004A1DE5"/>
    <w:rsid w:val="004A1FE6"/>
    <w:rsid w:val="004A2155"/>
    <w:rsid w:val="004A22AB"/>
    <w:rsid w:val="004A2DC2"/>
    <w:rsid w:val="004A407C"/>
    <w:rsid w:val="004A4842"/>
    <w:rsid w:val="004A578F"/>
    <w:rsid w:val="004A5C03"/>
    <w:rsid w:val="004B06A2"/>
    <w:rsid w:val="004B085B"/>
    <w:rsid w:val="004B105F"/>
    <w:rsid w:val="004B3A30"/>
    <w:rsid w:val="004B45E9"/>
    <w:rsid w:val="004B52C4"/>
    <w:rsid w:val="004B53EE"/>
    <w:rsid w:val="004B5911"/>
    <w:rsid w:val="004B5D12"/>
    <w:rsid w:val="004B68DC"/>
    <w:rsid w:val="004C08CB"/>
    <w:rsid w:val="004C10B8"/>
    <w:rsid w:val="004C2097"/>
    <w:rsid w:val="004C341D"/>
    <w:rsid w:val="004C3536"/>
    <w:rsid w:val="004C4379"/>
    <w:rsid w:val="004C54A0"/>
    <w:rsid w:val="004C54AF"/>
    <w:rsid w:val="004C56B8"/>
    <w:rsid w:val="004C767D"/>
    <w:rsid w:val="004D1996"/>
    <w:rsid w:val="004D289A"/>
    <w:rsid w:val="004D3E8A"/>
    <w:rsid w:val="004D588C"/>
    <w:rsid w:val="004D59C8"/>
    <w:rsid w:val="004D69E3"/>
    <w:rsid w:val="004D6F5E"/>
    <w:rsid w:val="004E0925"/>
    <w:rsid w:val="004E0B11"/>
    <w:rsid w:val="004E1992"/>
    <w:rsid w:val="004E19FF"/>
    <w:rsid w:val="004E2970"/>
    <w:rsid w:val="004E4519"/>
    <w:rsid w:val="004E4E17"/>
    <w:rsid w:val="004E68E6"/>
    <w:rsid w:val="004E6F8E"/>
    <w:rsid w:val="004E720A"/>
    <w:rsid w:val="004E7F44"/>
    <w:rsid w:val="004F11A9"/>
    <w:rsid w:val="004F40A6"/>
    <w:rsid w:val="004F41AA"/>
    <w:rsid w:val="004F4395"/>
    <w:rsid w:val="004F53A9"/>
    <w:rsid w:val="004F679F"/>
    <w:rsid w:val="00500A61"/>
    <w:rsid w:val="00500B9E"/>
    <w:rsid w:val="00501D78"/>
    <w:rsid w:val="005020C9"/>
    <w:rsid w:val="005022AC"/>
    <w:rsid w:val="005028E3"/>
    <w:rsid w:val="00502A57"/>
    <w:rsid w:val="00506EF8"/>
    <w:rsid w:val="00510265"/>
    <w:rsid w:val="0051054E"/>
    <w:rsid w:val="00511393"/>
    <w:rsid w:val="00512988"/>
    <w:rsid w:val="00513BA8"/>
    <w:rsid w:val="00517D4D"/>
    <w:rsid w:val="00517FC2"/>
    <w:rsid w:val="005222B9"/>
    <w:rsid w:val="00523365"/>
    <w:rsid w:val="00523A2D"/>
    <w:rsid w:val="00526580"/>
    <w:rsid w:val="005266B3"/>
    <w:rsid w:val="00531009"/>
    <w:rsid w:val="00534510"/>
    <w:rsid w:val="00534F3E"/>
    <w:rsid w:val="00535FE4"/>
    <w:rsid w:val="00536919"/>
    <w:rsid w:val="005376CD"/>
    <w:rsid w:val="00537FD5"/>
    <w:rsid w:val="00540F7B"/>
    <w:rsid w:val="005422A1"/>
    <w:rsid w:val="00542D08"/>
    <w:rsid w:val="00543F80"/>
    <w:rsid w:val="00544401"/>
    <w:rsid w:val="0054478D"/>
    <w:rsid w:val="00546396"/>
    <w:rsid w:val="00546550"/>
    <w:rsid w:val="00547519"/>
    <w:rsid w:val="00551375"/>
    <w:rsid w:val="00551653"/>
    <w:rsid w:val="00552BDE"/>
    <w:rsid w:val="005560D8"/>
    <w:rsid w:val="005565D7"/>
    <w:rsid w:val="005577CC"/>
    <w:rsid w:val="00560CE2"/>
    <w:rsid w:val="0056156B"/>
    <w:rsid w:val="005616AC"/>
    <w:rsid w:val="00562862"/>
    <w:rsid w:val="005629A2"/>
    <w:rsid w:val="00562A92"/>
    <w:rsid w:val="00563845"/>
    <w:rsid w:val="005639A7"/>
    <w:rsid w:val="00564348"/>
    <w:rsid w:val="005654D5"/>
    <w:rsid w:val="00567989"/>
    <w:rsid w:val="005728AC"/>
    <w:rsid w:val="00572E22"/>
    <w:rsid w:val="00574883"/>
    <w:rsid w:val="00576187"/>
    <w:rsid w:val="005778C7"/>
    <w:rsid w:val="00577A0D"/>
    <w:rsid w:val="00581053"/>
    <w:rsid w:val="00581390"/>
    <w:rsid w:val="00581394"/>
    <w:rsid w:val="005824F4"/>
    <w:rsid w:val="00582FF9"/>
    <w:rsid w:val="00583083"/>
    <w:rsid w:val="00584145"/>
    <w:rsid w:val="00584934"/>
    <w:rsid w:val="00584CE6"/>
    <w:rsid w:val="00585016"/>
    <w:rsid w:val="0058548A"/>
    <w:rsid w:val="005863A9"/>
    <w:rsid w:val="005864DC"/>
    <w:rsid w:val="00586B37"/>
    <w:rsid w:val="00587E1B"/>
    <w:rsid w:val="00590C7A"/>
    <w:rsid w:val="005917CE"/>
    <w:rsid w:val="00591935"/>
    <w:rsid w:val="00591E17"/>
    <w:rsid w:val="005945D9"/>
    <w:rsid w:val="00595130"/>
    <w:rsid w:val="00596962"/>
    <w:rsid w:val="00597194"/>
    <w:rsid w:val="00597E95"/>
    <w:rsid w:val="005A0D1A"/>
    <w:rsid w:val="005A31F0"/>
    <w:rsid w:val="005A35D6"/>
    <w:rsid w:val="005A3E08"/>
    <w:rsid w:val="005A4314"/>
    <w:rsid w:val="005A4553"/>
    <w:rsid w:val="005A64DB"/>
    <w:rsid w:val="005A6780"/>
    <w:rsid w:val="005A71FF"/>
    <w:rsid w:val="005B3F7E"/>
    <w:rsid w:val="005B41EB"/>
    <w:rsid w:val="005B53E7"/>
    <w:rsid w:val="005B6E07"/>
    <w:rsid w:val="005C1A5B"/>
    <w:rsid w:val="005C2D00"/>
    <w:rsid w:val="005C399F"/>
    <w:rsid w:val="005C5277"/>
    <w:rsid w:val="005C5D7F"/>
    <w:rsid w:val="005C7054"/>
    <w:rsid w:val="005C7F44"/>
    <w:rsid w:val="005D0D0B"/>
    <w:rsid w:val="005D2174"/>
    <w:rsid w:val="005D2768"/>
    <w:rsid w:val="005D3348"/>
    <w:rsid w:val="005D33FD"/>
    <w:rsid w:val="005D39B9"/>
    <w:rsid w:val="005D56C3"/>
    <w:rsid w:val="005D6939"/>
    <w:rsid w:val="005D6F9E"/>
    <w:rsid w:val="005E09C5"/>
    <w:rsid w:val="005E12DC"/>
    <w:rsid w:val="005E22AF"/>
    <w:rsid w:val="005E36AB"/>
    <w:rsid w:val="005E4302"/>
    <w:rsid w:val="005E49A7"/>
    <w:rsid w:val="005E52C0"/>
    <w:rsid w:val="005E58AF"/>
    <w:rsid w:val="005E7640"/>
    <w:rsid w:val="005E7831"/>
    <w:rsid w:val="005E7E04"/>
    <w:rsid w:val="005F035F"/>
    <w:rsid w:val="005F12AE"/>
    <w:rsid w:val="005F2640"/>
    <w:rsid w:val="005F4A15"/>
    <w:rsid w:val="005F526B"/>
    <w:rsid w:val="005F71FC"/>
    <w:rsid w:val="005F72FE"/>
    <w:rsid w:val="00604B07"/>
    <w:rsid w:val="006055D7"/>
    <w:rsid w:val="00606303"/>
    <w:rsid w:val="00606656"/>
    <w:rsid w:val="0061241B"/>
    <w:rsid w:val="00612A25"/>
    <w:rsid w:val="00614C14"/>
    <w:rsid w:val="00614D3D"/>
    <w:rsid w:val="00620404"/>
    <w:rsid w:val="006212B9"/>
    <w:rsid w:val="0062147F"/>
    <w:rsid w:val="00621F0E"/>
    <w:rsid w:val="0062329B"/>
    <w:rsid w:val="00624605"/>
    <w:rsid w:val="006246A4"/>
    <w:rsid w:val="00625B51"/>
    <w:rsid w:val="00625F78"/>
    <w:rsid w:val="00626381"/>
    <w:rsid w:val="00626F74"/>
    <w:rsid w:val="00627484"/>
    <w:rsid w:val="00627D65"/>
    <w:rsid w:val="0063046B"/>
    <w:rsid w:val="00630D4A"/>
    <w:rsid w:val="00631AFE"/>
    <w:rsid w:val="00633164"/>
    <w:rsid w:val="00634D80"/>
    <w:rsid w:val="0063590C"/>
    <w:rsid w:val="00637951"/>
    <w:rsid w:val="006400D4"/>
    <w:rsid w:val="0064047A"/>
    <w:rsid w:val="00641579"/>
    <w:rsid w:val="00643917"/>
    <w:rsid w:val="006444FA"/>
    <w:rsid w:val="00645328"/>
    <w:rsid w:val="00646919"/>
    <w:rsid w:val="00647393"/>
    <w:rsid w:val="0064775E"/>
    <w:rsid w:val="00650C6B"/>
    <w:rsid w:val="00651695"/>
    <w:rsid w:val="00651C1E"/>
    <w:rsid w:val="00652507"/>
    <w:rsid w:val="00653380"/>
    <w:rsid w:val="006543CA"/>
    <w:rsid w:val="0065511A"/>
    <w:rsid w:val="00656964"/>
    <w:rsid w:val="006574E4"/>
    <w:rsid w:val="00660A30"/>
    <w:rsid w:val="006615E3"/>
    <w:rsid w:val="006624DA"/>
    <w:rsid w:val="006630B5"/>
    <w:rsid w:val="00663E41"/>
    <w:rsid w:val="00664DE0"/>
    <w:rsid w:val="00665AE0"/>
    <w:rsid w:val="00666E3E"/>
    <w:rsid w:val="00667B4A"/>
    <w:rsid w:val="0067284B"/>
    <w:rsid w:val="00672AB7"/>
    <w:rsid w:val="006737A8"/>
    <w:rsid w:val="00673A7D"/>
    <w:rsid w:val="006747E7"/>
    <w:rsid w:val="00674A5F"/>
    <w:rsid w:val="0067555E"/>
    <w:rsid w:val="00675D9D"/>
    <w:rsid w:val="0067711E"/>
    <w:rsid w:val="00680B00"/>
    <w:rsid w:val="00680D57"/>
    <w:rsid w:val="0068103F"/>
    <w:rsid w:val="00682640"/>
    <w:rsid w:val="00683BE2"/>
    <w:rsid w:val="00684F2D"/>
    <w:rsid w:val="00685ADC"/>
    <w:rsid w:val="006872D1"/>
    <w:rsid w:val="00687A0D"/>
    <w:rsid w:val="00690897"/>
    <w:rsid w:val="006938D8"/>
    <w:rsid w:val="00693A02"/>
    <w:rsid w:val="00693D8F"/>
    <w:rsid w:val="0069483D"/>
    <w:rsid w:val="0069564E"/>
    <w:rsid w:val="006975BC"/>
    <w:rsid w:val="006A1A97"/>
    <w:rsid w:val="006A2F3B"/>
    <w:rsid w:val="006A3475"/>
    <w:rsid w:val="006A3EBD"/>
    <w:rsid w:val="006A587D"/>
    <w:rsid w:val="006A5B75"/>
    <w:rsid w:val="006A6493"/>
    <w:rsid w:val="006B12F4"/>
    <w:rsid w:val="006B2D87"/>
    <w:rsid w:val="006B5F85"/>
    <w:rsid w:val="006C08A1"/>
    <w:rsid w:val="006C0BCB"/>
    <w:rsid w:val="006C1398"/>
    <w:rsid w:val="006C1799"/>
    <w:rsid w:val="006C24E5"/>
    <w:rsid w:val="006D4D8B"/>
    <w:rsid w:val="006D6B09"/>
    <w:rsid w:val="006E0CD9"/>
    <w:rsid w:val="006E1835"/>
    <w:rsid w:val="006E1BAD"/>
    <w:rsid w:val="006E211A"/>
    <w:rsid w:val="006E2349"/>
    <w:rsid w:val="006E33DB"/>
    <w:rsid w:val="006E3B9D"/>
    <w:rsid w:val="006E5BAD"/>
    <w:rsid w:val="006E6007"/>
    <w:rsid w:val="006E66A4"/>
    <w:rsid w:val="006E7ABF"/>
    <w:rsid w:val="006F0CD6"/>
    <w:rsid w:val="006F37AD"/>
    <w:rsid w:val="006F3871"/>
    <w:rsid w:val="006F4319"/>
    <w:rsid w:val="006F4E27"/>
    <w:rsid w:val="006F50B4"/>
    <w:rsid w:val="006F5EAC"/>
    <w:rsid w:val="006F5F8D"/>
    <w:rsid w:val="006F7F61"/>
    <w:rsid w:val="007006C6"/>
    <w:rsid w:val="00700791"/>
    <w:rsid w:val="007007E2"/>
    <w:rsid w:val="00700D3B"/>
    <w:rsid w:val="007020C4"/>
    <w:rsid w:val="007050B1"/>
    <w:rsid w:val="007062FF"/>
    <w:rsid w:val="00707146"/>
    <w:rsid w:val="00711F63"/>
    <w:rsid w:val="00713E81"/>
    <w:rsid w:val="00720B0D"/>
    <w:rsid w:val="00721384"/>
    <w:rsid w:val="0072409B"/>
    <w:rsid w:val="007248F8"/>
    <w:rsid w:val="00727332"/>
    <w:rsid w:val="00727B6B"/>
    <w:rsid w:val="00730525"/>
    <w:rsid w:val="00730E9B"/>
    <w:rsid w:val="0073786F"/>
    <w:rsid w:val="007403C5"/>
    <w:rsid w:val="00740A15"/>
    <w:rsid w:val="00740ADF"/>
    <w:rsid w:val="00742131"/>
    <w:rsid w:val="0074223F"/>
    <w:rsid w:val="00742290"/>
    <w:rsid w:val="00742A77"/>
    <w:rsid w:val="00744349"/>
    <w:rsid w:val="00744974"/>
    <w:rsid w:val="00745422"/>
    <w:rsid w:val="00745746"/>
    <w:rsid w:val="00745D7C"/>
    <w:rsid w:val="00745EA2"/>
    <w:rsid w:val="00750120"/>
    <w:rsid w:val="00750BBD"/>
    <w:rsid w:val="0075102D"/>
    <w:rsid w:val="00752545"/>
    <w:rsid w:val="0075289F"/>
    <w:rsid w:val="00752A11"/>
    <w:rsid w:val="00752D15"/>
    <w:rsid w:val="00752FB0"/>
    <w:rsid w:val="00754E9F"/>
    <w:rsid w:val="0075535A"/>
    <w:rsid w:val="00755E46"/>
    <w:rsid w:val="00756486"/>
    <w:rsid w:val="00756AEE"/>
    <w:rsid w:val="00757CED"/>
    <w:rsid w:val="00760506"/>
    <w:rsid w:val="00760C13"/>
    <w:rsid w:val="00760D55"/>
    <w:rsid w:val="00760F3E"/>
    <w:rsid w:val="00760F7C"/>
    <w:rsid w:val="00762501"/>
    <w:rsid w:val="00762FC3"/>
    <w:rsid w:val="007633D3"/>
    <w:rsid w:val="00763A05"/>
    <w:rsid w:val="00763C4A"/>
    <w:rsid w:val="00764CAD"/>
    <w:rsid w:val="0076562C"/>
    <w:rsid w:val="00765B3A"/>
    <w:rsid w:val="00765F21"/>
    <w:rsid w:val="007667A4"/>
    <w:rsid w:val="00766E6A"/>
    <w:rsid w:val="00767CF1"/>
    <w:rsid w:val="00771234"/>
    <w:rsid w:val="0077241B"/>
    <w:rsid w:val="00773816"/>
    <w:rsid w:val="00773E3B"/>
    <w:rsid w:val="0077464E"/>
    <w:rsid w:val="00774EBA"/>
    <w:rsid w:val="007750D3"/>
    <w:rsid w:val="00775328"/>
    <w:rsid w:val="00775638"/>
    <w:rsid w:val="00775F7F"/>
    <w:rsid w:val="00776F8A"/>
    <w:rsid w:val="00780359"/>
    <w:rsid w:val="00781231"/>
    <w:rsid w:val="00782209"/>
    <w:rsid w:val="00782419"/>
    <w:rsid w:val="0078277B"/>
    <w:rsid w:val="00782EE5"/>
    <w:rsid w:val="007836F6"/>
    <w:rsid w:val="00783732"/>
    <w:rsid w:val="00784F42"/>
    <w:rsid w:val="00787717"/>
    <w:rsid w:val="00790C6F"/>
    <w:rsid w:val="00793A24"/>
    <w:rsid w:val="00796B27"/>
    <w:rsid w:val="00796D8A"/>
    <w:rsid w:val="00796E2C"/>
    <w:rsid w:val="007A08D3"/>
    <w:rsid w:val="007A0D64"/>
    <w:rsid w:val="007A3FEB"/>
    <w:rsid w:val="007A4329"/>
    <w:rsid w:val="007A5509"/>
    <w:rsid w:val="007A5FD5"/>
    <w:rsid w:val="007A66B8"/>
    <w:rsid w:val="007A714B"/>
    <w:rsid w:val="007A7DBB"/>
    <w:rsid w:val="007B054F"/>
    <w:rsid w:val="007B1C56"/>
    <w:rsid w:val="007B3366"/>
    <w:rsid w:val="007B48E1"/>
    <w:rsid w:val="007B4995"/>
    <w:rsid w:val="007B54AB"/>
    <w:rsid w:val="007B5647"/>
    <w:rsid w:val="007B6133"/>
    <w:rsid w:val="007B6880"/>
    <w:rsid w:val="007B68D5"/>
    <w:rsid w:val="007B6B7F"/>
    <w:rsid w:val="007B7378"/>
    <w:rsid w:val="007B78A5"/>
    <w:rsid w:val="007B791D"/>
    <w:rsid w:val="007B7F6B"/>
    <w:rsid w:val="007C0B57"/>
    <w:rsid w:val="007C0DBC"/>
    <w:rsid w:val="007C1899"/>
    <w:rsid w:val="007C20D3"/>
    <w:rsid w:val="007C2FB4"/>
    <w:rsid w:val="007C3BDE"/>
    <w:rsid w:val="007C478A"/>
    <w:rsid w:val="007C5902"/>
    <w:rsid w:val="007C6E5E"/>
    <w:rsid w:val="007D0A6B"/>
    <w:rsid w:val="007D10DF"/>
    <w:rsid w:val="007D1556"/>
    <w:rsid w:val="007D2377"/>
    <w:rsid w:val="007D367D"/>
    <w:rsid w:val="007D40E5"/>
    <w:rsid w:val="007D6DB1"/>
    <w:rsid w:val="007E029A"/>
    <w:rsid w:val="007E0A80"/>
    <w:rsid w:val="007E0AB9"/>
    <w:rsid w:val="007E0BF9"/>
    <w:rsid w:val="007E102E"/>
    <w:rsid w:val="007E3468"/>
    <w:rsid w:val="007E3AD9"/>
    <w:rsid w:val="007E425A"/>
    <w:rsid w:val="007E54D3"/>
    <w:rsid w:val="007E5C87"/>
    <w:rsid w:val="007E6B6B"/>
    <w:rsid w:val="007E7CFC"/>
    <w:rsid w:val="007F0316"/>
    <w:rsid w:val="007F10F6"/>
    <w:rsid w:val="007F1BC0"/>
    <w:rsid w:val="007F2617"/>
    <w:rsid w:val="007F2D24"/>
    <w:rsid w:val="007F47AD"/>
    <w:rsid w:val="007F5CB3"/>
    <w:rsid w:val="007F5FD6"/>
    <w:rsid w:val="007F75A9"/>
    <w:rsid w:val="0080016B"/>
    <w:rsid w:val="0080163C"/>
    <w:rsid w:val="00801A1C"/>
    <w:rsid w:val="00804C47"/>
    <w:rsid w:val="00804E1E"/>
    <w:rsid w:val="00806344"/>
    <w:rsid w:val="0080730B"/>
    <w:rsid w:val="008074A8"/>
    <w:rsid w:val="00810E6E"/>
    <w:rsid w:val="00811749"/>
    <w:rsid w:val="0081186C"/>
    <w:rsid w:val="00812295"/>
    <w:rsid w:val="008125A0"/>
    <w:rsid w:val="008149C0"/>
    <w:rsid w:val="00815230"/>
    <w:rsid w:val="00815D63"/>
    <w:rsid w:val="00816E6E"/>
    <w:rsid w:val="00821938"/>
    <w:rsid w:val="00822B38"/>
    <w:rsid w:val="00823430"/>
    <w:rsid w:val="008253D3"/>
    <w:rsid w:val="00825655"/>
    <w:rsid w:val="00827386"/>
    <w:rsid w:val="00830754"/>
    <w:rsid w:val="00830FE0"/>
    <w:rsid w:val="00831ADF"/>
    <w:rsid w:val="00831E16"/>
    <w:rsid w:val="008325BF"/>
    <w:rsid w:val="008326E2"/>
    <w:rsid w:val="008330DB"/>
    <w:rsid w:val="00834073"/>
    <w:rsid w:val="00834B7F"/>
    <w:rsid w:val="00835D2F"/>
    <w:rsid w:val="008367FD"/>
    <w:rsid w:val="00836F6E"/>
    <w:rsid w:val="0083747E"/>
    <w:rsid w:val="008402C6"/>
    <w:rsid w:val="00840813"/>
    <w:rsid w:val="008408D5"/>
    <w:rsid w:val="00840AE7"/>
    <w:rsid w:val="00841036"/>
    <w:rsid w:val="0084152A"/>
    <w:rsid w:val="00842465"/>
    <w:rsid w:val="00842551"/>
    <w:rsid w:val="00842901"/>
    <w:rsid w:val="00842952"/>
    <w:rsid w:val="00842ADC"/>
    <w:rsid w:val="00842FCB"/>
    <w:rsid w:val="008433E4"/>
    <w:rsid w:val="00844475"/>
    <w:rsid w:val="00844492"/>
    <w:rsid w:val="00844FE1"/>
    <w:rsid w:val="0084755B"/>
    <w:rsid w:val="00850008"/>
    <w:rsid w:val="008555A8"/>
    <w:rsid w:val="00857B77"/>
    <w:rsid w:val="00860960"/>
    <w:rsid w:val="00860B13"/>
    <w:rsid w:val="008616C0"/>
    <w:rsid w:val="0086172F"/>
    <w:rsid w:val="00861BD8"/>
    <w:rsid w:val="008620E6"/>
    <w:rsid w:val="00862441"/>
    <w:rsid w:val="00862FD5"/>
    <w:rsid w:val="00864A00"/>
    <w:rsid w:val="008678D1"/>
    <w:rsid w:val="00870FB1"/>
    <w:rsid w:val="00870FBD"/>
    <w:rsid w:val="00873296"/>
    <w:rsid w:val="00874240"/>
    <w:rsid w:val="008744E3"/>
    <w:rsid w:val="00874871"/>
    <w:rsid w:val="008757FA"/>
    <w:rsid w:val="00876C33"/>
    <w:rsid w:val="00881300"/>
    <w:rsid w:val="0088182A"/>
    <w:rsid w:val="00881CAD"/>
    <w:rsid w:val="00882BA0"/>
    <w:rsid w:val="008835D0"/>
    <w:rsid w:val="00885A91"/>
    <w:rsid w:val="00886449"/>
    <w:rsid w:val="00886539"/>
    <w:rsid w:val="00886E30"/>
    <w:rsid w:val="00887045"/>
    <w:rsid w:val="00887261"/>
    <w:rsid w:val="00887AF2"/>
    <w:rsid w:val="0089105F"/>
    <w:rsid w:val="00893423"/>
    <w:rsid w:val="0089583E"/>
    <w:rsid w:val="00896FF7"/>
    <w:rsid w:val="00897D4D"/>
    <w:rsid w:val="008A00E8"/>
    <w:rsid w:val="008A14F8"/>
    <w:rsid w:val="008A26E7"/>
    <w:rsid w:val="008A383A"/>
    <w:rsid w:val="008A3D2C"/>
    <w:rsid w:val="008A47BA"/>
    <w:rsid w:val="008A4C4A"/>
    <w:rsid w:val="008A4EC7"/>
    <w:rsid w:val="008A5108"/>
    <w:rsid w:val="008A55FF"/>
    <w:rsid w:val="008A5AD1"/>
    <w:rsid w:val="008A5F12"/>
    <w:rsid w:val="008A7038"/>
    <w:rsid w:val="008B2BBE"/>
    <w:rsid w:val="008B2DC2"/>
    <w:rsid w:val="008B2E34"/>
    <w:rsid w:val="008B4FE5"/>
    <w:rsid w:val="008B6C71"/>
    <w:rsid w:val="008C2DF8"/>
    <w:rsid w:val="008C3E14"/>
    <w:rsid w:val="008C6E83"/>
    <w:rsid w:val="008D0012"/>
    <w:rsid w:val="008D09A6"/>
    <w:rsid w:val="008D115A"/>
    <w:rsid w:val="008D26F7"/>
    <w:rsid w:val="008D31BF"/>
    <w:rsid w:val="008D4299"/>
    <w:rsid w:val="008D4BD3"/>
    <w:rsid w:val="008D5A9F"/>
    <w:rsid w:val="008D6434"/>
    <w:rsid w:val="008D6625"/>
    <w:rsid w:val="008D67CA"/>
    <w:rsid w:val="008D704E"/>
    <w:rsid w:val="008D761D"/>
    <w:rsid w:val="008D7CC8"/>
    <w:rsid w:val="008E208A"/>
    <w:rsid w:val="008E21A5"/>
    <w:rsid w:val="008E288F"/>
    <w:rsid w:val="008E2C7D"/>
    <w:rsid w:val="008E2D82"/>
    <w:rsid w:val="008E34C6"/>
    <w:rsid w:val="008E3F09"/>
    <w:rsid w:val="008E4BD2"/>
    <w:rsid w:val="008E601D"/>
    <w:rsid w:val="008E6BE3"/>
    <w:rsid w:val="008F04D2"/>
    <w:rsid w:val="008F1921"/>
    <w:rsid w:val="008F1BCE"/>
    <w:rsid w:val="008F2198"/>
    <w:rsid w:val="008F222F"/>
    <w:rsid w:val="008F241C"/>
    <w:rsid w:val="008F2476"/>
    <w:rsid w:val="008F2E95"/>
    <w:rsid w:val="008F2F98"/>
    <w:rsid w:val="008F31E4"/>
    <w:rsid w:val="008F4E68"/>
    <w:rsid w:val="008F5B75"/>
    <w:rsid w:val="008F77CC"/>
    <w:rsid w:val="00901423"/>
    <w:rsid w:val="00903309"/>
    <w:rsid w:val="009045B2"/>
    <w:rsid w:val="00905438"/>
    <w:rsid w:val="00907AAC"/>
    <w:rsid w:val="00910079"/>
    <w:rsid w:val="009114BF"/>
    <w:rsid w:val="00911C7E"/>
    <w:rsid w:val="0091233D"/>
    <w:rsid w:val="009131D9"/>
    <w:rsid w:val="00913C2C"/>
    <w:rsid w:val="0091458D"/>
    <w:rsid w:val="00915739"/>
    <w:rsid w:val="00915C45"/>
    <w:rsid w:val="00915D9E"/>
    <w:rsid w:val="00915DAD"/>
    <w:rsid w:val="0091605A"/>
    <w:rsid w:val="009160FD"/>
    <w:rsid w:val="00917DA2"/>
    <w:rsid w:val="00922ACE"/>
    <w:rsid w:val="00923195"/>
    <w:rsid w:val="00923EEC"/>
    <w:rsid w:val="00925C7B"/>
    <w:rsid w:val="0092639B"/>
    <w:rsid w:val="00926475"/>
    <w:rsid w:val="00930037"/>
    <w:rsid w:val="0093130C"/>
    <w:rsid w:val="009314B5"/>
    <w:rsid w:val="009315AE"/>
    <w:rsid w:val="00931C69"/>
    <w:rsid w:val="00931DAA"/>
    <w:rsid w:val="009328C2"/>
    <w:rsid w:val="00932933"/>
    <w:rsid w:val="00934133"/>
    <w:rsid w:val="009357DA"/>
    <w:rsid w:val="009363E2"/>
    <w:rsid w:val="00940783"/>
    <w:rsid w:val="00941A99"/>
    <w:rsid w:val="00943324"/>
    <w:rsid w:val="00943525"/>
    <w:rsid w:val="00943DA2"/>
    <w:rsid w:val="00944263"/>
    <w:rsid w:val="009507CE"/>
    <w:rsid w:val="009508CD"/>
    <w:rsid w:val="00951B7B"/>
    <w:rsid w:val="0095278B"/>
    <w:rsid w:val="00952985"/>
    <w:rsid w:val="00953F40"/>
    <w:rsid w:val="009548E7"/>
    <w:rsid w:val="00954986"/>
    <w:rsid w:val="00954C96"/>
    <w:rsid w:val="0095501B"/>
    <w:rsid w:val="0095505B"/>
    <w:rsid w:val="00955B4D"/>
    <w:rsid w:val="00956954"/>
    <w:rsid w:val="009572C2"/>
    <w:rsid w:val="0095735D"/>
    <w:rsid w:val="00957BFF"/>
    <w:rsid w:val="00957DE1"/>
    <w:rsid w:val="009603ED"/>
    <w:rsid w:val="00962E57"/>
    <w:rsid w:val="009649C2"/>
    <w:rsid w:val="00966877"/>
    <w:rsid w:val="00967E92"/>
    <w:rsid w:val="009706FD"/>
    <w:rsid w:val="00971201"/>
    <w:rsid w:val="009723C1"/>
    <w:rsid w:val="009736E9"/>
    <w:rsid w:val="00974C1B"/>
    <w:rsid w:val="00974ED2"/>
    <w:rsid w:val="00974F81"/>
    <w:rsid w:val="00975B8A"/>
    <w:rsid w:val="00975E05"/>
    <w:rsid w:val="00977DC2"/>
    <w:rsid w:val="00982EA5"/>
    <w:rsid w:val="009836EB"/>
    <w:rsid w:val="009843E9"/>
    <w:rsid w:val="00985973"/>
    <w:rsid w:val="00986276"/>
    <w:rsid w:val="00991AAC"/>
    <w:rsid w:val="00992235"/>
    <w:rsid w:val="00994343"/>
    <w:rsid w:val="009950DD"/>
    <w:rsid w:val="009965CD"/>
    <w:rsid w:val="009A05B6"/>
    <w:rsid w:val="009A07E6"/>
    <w:rsid w:val="009A113E"/>
    <w:rsid w:val="009A20D2"/>
    <w:rsid w:val="009A2197"/>
    <w:rsid w:val="009A222E"/>
    <w:rsid w:val="009A253D"/>
    <w:rsid w:val="009A3D4F"/>
    <w:rsid w:val="009A440F"/>
    <w:rsid w:val="009A4E53"/>
    <w:rsid w:val="009A5FD4"/>
    <w:rsid w:val="009A6072"/>
    <w:rsid w:val="009A6441"/>
    <w:rsid w:val="009A7C7E"/>
    <w:rsid w:val="009B019C"/>
    <w:rsid w:val="009B1620"/>
    <w:rsid w:val="009B2546"/>
    <w:rsid w:val="009B27B8"/>
    <w:rsid w:val="009B2991"/>
    <w:rsid w:val="009B2CBA"/>
    <w:rsid w:val="009B396E"/>
    <w:rsid w:val="009B3C7E"/>
    <w:rsid w:val="009B4A0A"/>
    <w:rsid w:val="009B5171"/>
    <w:rsid w:val="009B547A"/>
    <w:rsid w:val="009B677F"/>
    <w:rsid w:val="009B7C06"/>
    <w:rsid w:val="009B7DED"/>
    <w:rsid w:val="009B7E0D"/>
    <w:rsid w:val="009C0FDB"/>
    <w:rsid w:val="009C168E"/>
    <w:rsid w:val="009C17DA"/>
    <w:rsid w:val="009C206B"/>
    <w:rsid w:val="009C30CB"/>
    <w:rsid w:val="009C3949"/>
    <w:rsid w:val="009C3C63"/>
    <w:rsid w:val="009C57C8"/>
    <w:rsid w:val="009C5EF1"/>
    <w:rsid w:val="009C6936"/>
    <w:rsid w:val="009C7077"/>
    <w:rsid w:val="009C7152"/>
    <w:rsid w:val="009D30C0"/>
    <w:rsid w:val="009D605D"/>
    <w:rsid w:val="009D78A9"/>
    <w:rsid w:val="009E0AAB"/>
    <w:rsid w:val="009E19DF"/>
    <w:rsid w:val="009E25A2"/>
    <w:rsid w:val="009E3D7A"/>
    <w:rsid w:val="009E4C9F"/>
    <w:rsid w:val="009E4E56"/>
    <w:rsid w:val="009E4EFA"/>
    <w:rsid w:val="009E558E"/>
    <w:rsid w:val="009E5CFB"/>
    <w:rsid w:val="009E7DDD"/>
    <w:rsid w:val="009F00A2"/>
    <w:rsid w:val="009F1316"/>
    <w:rsid w:val="009F1C91"/>
    <w:rsid w:val="009F28B2"/>
    <w:rsid w:val="009F4257"/>
    <w:rsid w:val="009F451E"/>
    <w:rsid w:val="00A015B0"/>
    <w:rsid w:val="00A01AE7"/>
    <w:rsid w:val="00A01C28"/>
    <w:rsid w:val="00A0290F"/>
    <w:rsid w:val="00A0327A"/>
    <w:rsid w:val="00A0377E"/>
    <w:rsid w:val="00A05FE2"/>
    <w:rsid w:val="00A07F12"/>
    <w:rsid w:val="00A11046"/>
    <w:rsid w:val="00A1120D"/>
    <w:rsid w:val="00A1448A"/>
    <w:rsid w:val="00A14758"/>
    <w:rsid w:val="00A15604"/>
    <w:rsid w:val="00A212EE"/>
    <w:rsid w:val="00A21D3E"/>
    <w:rsid w:val="00A22F72"/>
    <w:rsid w:val="00A26133"/>
    <w:rsid w:val="00A26408"/>
    <w:rsid w:val="00A26A28"/>
    <w:rsid w:val="00A274E6"/>
    <w:rsid w:val="00A27909"/>
    <w:rsid w:val="00A304DB"/>
    <w:rsid w:val="00A30C99"/>
    <w:rsid w:val="00A30E08"/>
    <w:rsid w:val="00A3249D"/>
    <w:rsid w:val="00A32F1D"/>
    <w:rsid w:val="00A33B81"/>
    <w:rsid w:val="00A35C2F"/>
    <w:rsid w:val="00A35E10"/>
    <w:rsid w:val="00A36EE7"/>
    <w:rsid w:val="00A40A1B"/>
    <w:rsid w:val="00A41CF8"/>
    <w:rsid w:val="00A42709"/>
    <w:rsid w:val="00A43319"/>
    <w:rsid w:val="00A43617"/>
    <w:rsid w:val="00A44033"/>
    <w:rsid w:val="00A529B7"/>
    <w:rsid w:val="00A5319C"/>
    <w:rsid w:val="00A542B9"/>
    <w:rsid w:val="00A556A2"/>
    <w:rsid w:val="00A564D6"/>
    <w:rsid w:val="00A5721C"/>
    <w:rsid w:val="00A6026E"/>
    <w:rsid w:val="00A6126A"/>
    <w:rsid w:val="00A615F9"/>
    <w:rsid w:val="00A61A67"/>
    <w:rsid w:val="00A61CD6"/>
    <w:rsid w:val="00A6238C"/>
    <w:rsid w:val="00A62D9D"/>
    <w:rsid w:val="00A630B2"/>
    <w:rsid w:val="00A6336E"/>
    <w:rsid w:val="00A640EE"/>
    <w:rsid w:val="00A64514"/>
    <w:rsid w:val="00A648C3"/>
    <w:rsid w:val="00A65000"/>
    <w:rsid w:val="00A65BD0"/>
    <w:rsid w:val="00A66C78"/>
    <w:rsid w:val="00A700AE"/>
    <w:rsid w:val="00A712DE"/>
    <w:rsid w:val="00A7294B"/>
    <w:rsid w:val="00A72F0B"/>
    <w:rsid w:val="00A74A06"/>
    <w:rsid w:val="00A75686"/>
    <w:rsid w:val="00A758A8"/>
    <w:rsid w:val="00A77595"/>
    <w:rsid w:val="00A80017"/>
    <w:rsid w:val="00A808D2"/>
    <w:rsid w:val="00A81128"/>
    <w:rsid w:val="00A81186"/>
    <w:rsid w:val="00A813FB"/>
    <w:rsid w:val="00A81485"/>
    <w:rsid w:val="00A81F8C"/>
    <w:rsid w:val="00A82983"/>
    <w:rsid w:val="00A85000"/>
    <w:rsid w:val="00A85069"/>
    <w:rsid w:val="00A86484"/>
    <w:rsid w:val="00A87973"/>
    <w:rsid w:val="00A903EF"/>
    <w:rsid w:val="00A91CBE"/>
    <w:rsid w:val="00A92601"/>
    <w:rsid w:val="00A92F97"/>
    <w:rsid w:val="00A93119"/>
    <w:rsid w:val="00A940B8"/>
    <w:rsid w:val="00A947C2"/>
    <w:rsid w:val="00A950B6"/>
    <w:rsid w:val="00A97532"/>
    <w:rsid w:val="00A976F1"/>
    <w:rsid w:val="00A97D33"/>
    <w:rsid w:val="00A97DA2"/>
    <w:rsid w:val="00AA7BBC"/>
    <w:rsid w:val="00AB0896"/>
    <w:rsid w:val="00AB1632"/>
    <w:rsid w:val="00AB3122"/>
    <w:rsid w:val="00AB3BB1"/>
    <w:rsid w:val="00AB3C56"/>
    <w:rsid w:val="00AB3D8C"/>
    <w:rsid w:val="00AB406E"/>
    <w:rsid w:val="00AB4775"/>
    <w:rsid w:val="00AB482D"/>
    <w:rsid w:val="00AB4EE9"/>
    <w:rsid w:val="00AB5551"/>
    <w:rsid w:val="00AB6130"/>
    <w:rsid w:val="00AB659F"/>
    <w:rsid w:val="00AB7534"/>
    <w:rsid w:val="00AC17BF"/>
    <w:rsid w:val="00AC3869"/>
    <w:rsid w:val="00AC49C4"/>
    <w:rsid w:val="00AC5E12"/>
    <w:rsid w:val="00AD16DB"/>
    <w:rsid w:val="00AD2356"/>
    <w:rsid w:val="00AD32B7"/>
    <w:rsid w:val="00AD3774"/>
    <w:rsid w:val="00AD3DC7"/>
    <w:rsid w:val="00AD48B1"/>
    <w:rsid w:val="00AE0D83"/>
    <w:rsid w:val="00AE10D1"/>
    <w:rsid w:val="00AE1813"/>
    <w:rsid w:val="00AE1F7B"/>
    <w:rsid w:val="00AE238D"/>
    <w:rsid w:val="00AE2768"/>
    <w:rsid w:val="00AE357E"/>
    <w:rsid w:val="00AE4D34"/>
    <w:rsid w:val="00AE68C6"/>
    <w:rsid w:val="00AE6DD7"/>
    <w:rsid w:val="00AE7BD4"/>
    <w:rsid w:val="00AF1BB2"/>
    <w:rsid w:val="00AF1EB7"/>
    <w:rsid w:val="00AF2E7D"/>
    <w:rsid w:val="00AF495A"/>
    <w:rsid w:val="00AF5D3A"/>
    <w:rsid w:val="00AF6FB3"/>
    <w:rsid w:val="00AF7E51"/>
    <w:rsid w:val="00B001C8"/>
    <w:rsid w:val="00B020C7"/>
    <w:rsid w:val="00B03085"/>
    <w:rsid w:val="00B03FAF"/>
    <w:rsid w:val="00B04094"/>
    <w:rsid w:val="00B05A64"/>
    <w:rsid w:val="00B0600D"/>
    <w:rsid w:val="00B06AAD"/>
    <w:rsid w:val="00B075AC"/>
    <w:rsid w:val="00B11373"/>
    <w:rsid w:val="00B122D4"/>
    <w:rsid w:val="00B128C7"/>
    <w:rsid w:val="00B12FE9"/>
    <w:rsid w:val="00B13585"/>
    <w:rsid w:val="00B13A17"/>
    <w:rsid w:val="00B14469"/>
    <w:rsid w:val="00B14D33"/>
    <w:rsid w:val="00B1555E"/>
    <w:rsid w:val="00B166B2"/>
    <w:rsid w:val="00B16FCD"/>
    <w:rsid w:val="00B20825"/>
    <w:rsid w:val="00B214F1"/>
    <w:rsid w:val="00B21FD4"/>
    <w:rsid w:val="00B22521"/>
    <w:rsid w:val="00B22687"/>
    <w:rsid w:val="00B22FBB"/>
    <w:rsid w:val="00B2300D"/>
    <w:rsid w:val="00B230C5"/>
    <w:rsid w:val="00B230E8"/>
    <w:rsid w:val="00B237E2"/>
    <w:rsid w:val="00B25E0F"/>
    <w:rsid w:val="00B31BCF"/>
    <w:rsid w:val="00B324FA"/>
    <w:rsid w:val="00B3337F"/>
    <w:rsid w:val="00B33EAF"/>
    <w:rsid w:val="00B34778"/>
    <w:rsid w:val="00B34901"/>
    <w:rsid w:val="00B3592E"/>
    <w:rsid w:val="00B359F7"/>
    <w:rsid w:val="00B35BDA"/>
    <w:rsid w:val="00B35E8D"/>
    <w:rsid w:val="00B35ECC"/>
    <w:rsid w:val="00B36A70"/>
    <w:rsid w:val="00B3751D"/>
    <w:rsid w:val="00B375D6"/>
    <w:rsid w:val="00B376A9"/>
    <w:rsid w:val="00B41A19"/>
    <w:rsid w:val="00B41FC6"/>
    <w:rsid w:val="00B4260E"/>
    <w:rsid w:val="00B42964"/>
    <w:rsid w:val="00B43F62"/>
    <w:rsid w:val="00B51C0A"/>
    <w:rsid w:val="00B51DF2"/>
    <w:rsid w:val="00B52B24"/>
    <w:rsid w:val="00B53298"/>
    <w:rsid w:val="00B55703"/>
    <w:rsid w:val="00B56A86"/>
    <w:rsid w:val="00B571F3"/>
    <w:rsid w:val="00B57610"/>
    <w:rsid w:val="00B60389"/>
    <w:rsid w:val="00B60E46"/>
    <w:rsid w:val="00B63024"/>
    <w:rsid w:val="00B652E1"/>
    <w:rsid w:val="00B65B87"/>
    <w:rsid w:val="00B67A53"/>
    <w:rsid w:val="00B7059B"/>
    <w:rsid w:val="00B70728"/>
    <w:rsid w:val="00B72420"/>
    <w:rsid w:val="00B72521"/>
    <w:rsid w:val="00B732F7"/>
    <w:rsid w:val="00B7342D"/>
    <w:rsid w:val="00B73530"/>
    <w:rsid w:val="00B73796"/>
    <w:rsid w:val="00B73B12"/>
    <w:rsid w:val="00B743A9"/>
    <w:rsid w:val="00B768D2"/>
    <w:rsid w:val="00B803FC"/>
    <w:rsid w:val="00B80902"/>
    <w:rsid w:val="00B80DE5"/>
    <w:rsid w:val="00B80E9C"/>
    <w:rsid w:val="00B81B38"/>
    <w:rsid w:val="00B81CCE"/>
    <w:rsid w:val="00B82C9E"/>
    <w:rsid w:val="00B8441F"/>
    <w:rsid w:val="00B849FC"/>
    <w:rsid w:val="00B84DEE"/>
    <w:rsid w:val="00B8534C"/>
    <w:rsid w:val="00B85939"/>
    <w:rsid w:val="00B85B81"/>
    <w:rsid w:val="00B87770"/>
    <w:rsid w:val="00B90E42"/>
    <w:rsid w:val="00B91E65"/>
    <w:rsid w:val="00B92373"/>
    <w:rsid w:val="00B925AC"/>
    <w:rsid w:val="00B928C9"/>
    <w:rsid w:val="00B93126"/>
    <w:rsid w:val="00B94CFD"/>
    <w:rsid w:val="00B954B3"/>
    <w:rsid w:val="00B9581D"/>
    <w:rsid w:val="00B97C1E"/>
    <w:rsid w:val="00BA0FF7"/>
    <w:rsid w:val="00BA1982"/>
    <w:rsid w:val="00BA2EEF"/>
    <w:rsid w:val="00BA44C2"/>
    <w:rsid w:val="00BA61C8"/>
    <w:rsid w:val="00BA63C6"/>
    <w:rsid w:val="00BA716A"/>
    <w:rsid w:val="00BB2423"/>
    <w:rsid w:val="00BB2864"/>
    <w:rsid w:val="00BB36EF"/>
    <w:rsid w:val="00BB7041"/>
    <w:rsid w:val="00BB7696"/>
    <w:rsid w:val="00BC04DD"/>
    <w:rsid w:val="00BC08AE"/>
    <w:rsid w:val="00BC08E1"/>
    <w:rsid w:val="00BC1B87"/>
    <w:rsid w:val="00BC1D18"/>
    <w:rsid w:val="00BC30B4"/>
    <w:rsid w:val="00BC5BE3"/>
    <w:rsid w:val="00BC5BEE"/>
    <w:rsid w:val="00BC69FF"/>
    <w:rsid w:val="00BC6DB5"/>
    <w:rsid w:val="00BC7164"/>
    <w:rsid w:val="00BC7AC4"/>
    <w:rsid w:val="00BD2838"/>
    <w:rsid w:val="00BD3E4F"/>
    <w:rsid w:val="00BD544C"/>
    <w:rsid w:val="00BD60BB"/>
    <w:rsid w:val="00BD75AC"/>
    <w:rsid w:val="00BD7B96"/>
    <w:rsid w:val="00BD7CA1"/>
    <w:rsid w:val="00BE0ED3"/>
    <w:rsid w:val="00BE0FAA"/>
    <w:rsid w:val="00BE1CD3"/>
    <w:rsid w:val="00BE1D9D"/>
    <w:rsid w:val="00BE1F80"/>
    <w:rsid w:val="00BE2A0B"/>
    <w:rsid w:val="00BE4273"/>
    <w:rsid w:val="00BE42C0"/>
    <w:rsid w:val="00BE4524"/>
    <w:rsid w:val="00BE4E26"/>
    <w:rsid w:val="00BE738D"/>
    <w:rsid w:val="00BF0746"/>
    <w:rsid w:val="00BF089D"/>
    <w:rsid w:val="00BF1A64"/>
    <w:rsid w:val="00BF1F68"/>
    <w:rsid w:val="00BF2888"/>
    <w:rsid w:val="00BF3B89"/>
    <w:rsid w:val="00BF3B91"/>
    <w:rsid w:val="00BF45EB"/>
    <w:rsid w:val="00BF55E5"/>
    <w:rsid w:val="00BF5D99"/>
    <w:rsid w:val="00BF6618"/>
    <w:rsid w:val="00C00BAE"/>
    <w:rsid w:val="00C00D80"/>
    <w:rsid w:val="00C012DD"/>
    <w:rsid w:val="00C021E3"/>
    <w:rsid w:val="00C04B03"/>
    <w:rsid w:val="00C05A49"/>
    <w:rsid w:val="00C05DE1"/>
    <w:rsid w:val="00C066D0"/>
    <w:rsid w:val="00C07360"/>
    <w:rsid w:val="00C078DF"/>
    <w:rsid w:val="00C11E6C"/>
    <w:rsid w:val="00C123C8"/>
    <w:rsid w:val="00C131CC"/>
    <w:rsid w:val="00C144C3"/>
    <w:rsid w:val="00C2089F"/>
    <w:rsid w:val="00C214EA"/>
    <w:rsid w:val="00C23298"/>
    <w:rsid w:val="00C24D25"/>
    <w:rsid w:val="00C25833"/>
    <w:rsid w:val="00C2712E"/>
    <w:rsid w:val="00C27769"/>
    <w:rsid w:val="00C27A17"/>
    <w:rsid w:val="00C328B0"/>
    <w:rsid w:val="00C3345A"/>
    <w:rsid w:val="00C34038"/>
    <w:rsid w:val="00C3794A"/>
    <w:rsid w:val="00C407C5"/>
    <w:rsid w:val="00C415B3"/>
    <w:rsid w:val="00C41724"/>
    <w:rsid w:val="00C41892"/>
    <w:rsid w:val="00C430A6"/>
    <w:rsid w:val="00C435BA"/>
    <w:rsid w:val="00C43E73"/>
    <w:rsid w:val="00C43F53"/>
    <w:rsid w:val="00C501C2"/>
    <w:rsid w:val="00C52752"/>
    <w:rsid w:val="00C53F10"/>
    <w:rsid w:val="00C5450A"/>
    <w:rsid w:val="00C54D1D"/>
    <w:rsid w:val="00C552B4"/>
    <w:rsid w:val="00C56ACA"/>
    <w:rsid w:val="00C62581"/>
    <w:rsid w:val="00C63295"/>
    <w:rsid w:val="00C6424E"/>
    <w:rsid w:val="00C64C2C"/>
    <w:rsid w:val="00C65EC2"/>
    <w:rsid w:val="00C67533"/>
    <w:rsid w:val="00C679AB"/>
    <w:rsid w:val="00C67FA9"/>
    <w:rsid w:val="00C70297"/>
    <w:rsid w:val="00C70BD7"/>
    <w:rsid w:val="00C70C88"/>
    <w:rsid w:val="00C70CB5"/>
    <w:rsid w:val="00C7525D"/>
    <w:rsid w:val="00C752DC"/>
    <w:rsid w:val="00C75842"/>
    <w:rsid w:val="00C77870"/>
    <w:rsid w:val="00C811F4"/>
    <w:rsid w:val="00C84516"/>
    <w:rsid w:val="00C84B8D"/>
    <w:rsid w:val="00C857A0"/>
    <w:rsid w:val="00C85ACB"/>
    <w:rsid w:val="00C85AD5"/>
    <w:rsid w:val="00C86316"/>
    <w:rsid w:val="00C87E2E"/>
    <w:rsid w:val="00C90A8F"/>
    <w:rsid w:val="00C92462"/>
    <w:rsid w:val="00C9268E"/>
    <w:rsid w:val="00C937A6"/>
    <w:rsid w:val="00C940D0"/>
    <w:rsid w:val="00C94A72"/>
    <w:rsid w:val="00C954DB"/>
    <w:rsid w:val="00C9775E"/>
    <w:rsid w:val="00C97A09"/>
    <w:rsid w:val="00CA0C3A"/>
    <w:rsid w:val="00CA18FF"/>
    <w:rsid w:val="00CA29C7"/>
    <w:rsid w:val="00CA2BE9"/>
    <w:rsid w:val="00CA3418"/>
    <w:rsid w:val="00CA4C46"/>
    <w:rsid w:val="00CA536D"/>
    <w:rsid w:val="00CA6E88"/>
    <w:rsid w:val="00CB0EEF"/>
    <w:rsid w:val="00CB2C62"/>
    <w:rsid w:val="00CB4BA0"/>
    <w:rsid w:val="00CB61E6"/>
    <w:rsid w:val="00CC002F"/>
    <w:rsid w:val="00CC03CD"/>
    <w:rsid w:val="00CC0659"/>
    <w:rsid w:val="00CC1EF3"/>
    <w:rsid w:val="00CC228E"/>
    <w:rsid w:val="00CC296E"/>
    <w:rsid w:val="00CC2B35"/>
    <w:rsid w:val="00CC3965"/>
    <w:rsid w:val="00CC3BDD"/>
    <w:rsid w:val="00CC4840"/>
    <w:rsid w:val="00CC4F6C"/>
    <w:rsid w:val="00CD184E"/>
    <w:rsid w:val="00CD1938"/>
    <w:rsid w:val="00CD225F"/>
    <w:rsid w:val="00CD310B"/>
    <w:rsid w:val="00CD3DD9"/>
    <w:rsid w:val="00CD3E61"/>
    <w:rsid w:val="00CD5079"/>
    <w:rsid w:val="00CD5A79"/>
    <w:rsid w:val="00CD5E6B"/>
    <w:rsid w:val="00CD65FF"/>
    <w:rsid w:val="00CD7C9A"/>
    <w:rsid w:val="00CE062F"/>
    <w:rsid w:val="00CE0645"/>
    <w:rsid w:val="00CE2731"/>
    <w:rsid w:val="00CE2E50"/>
    <w:rsid w:val="00CE3E5D"/>
    <w:rsid w:val="00CE4FD8"/>
    <w:rsid w:val="00CE52B0"/>
    <w:rsid w:val="00CE577E"/>
    <w:rsid w:val="00CE587D"/>
    <w:rsid w:val="00CE6CEA"/>
    <w:rsid w:val="00CF1556"/>
    <w:rsid w:val="00CF15CD"/>
    <w:rsid w:val="00CF1A80"/>
    <w:rsid w:val="00CF1B64"/>
    <w:rsid w:val="00CF1E95"/>
    <w:rsid w:val="00CF223A"/>
    <w:rsid w:val="00CF2CFF"/>
    <w:rsid w:val="00CF3F0A"/>
    <w:rsid w:val="00CF3FE2"/>
    <w:rsid w:val="00CF42C0"/>
    <w:rsid w:val="00CF44D5"/>
    <w:rsid w:val="00CF50DB"/>
    <w:rsid w:val="00CF5E24"/>
    <w:rsid w:val="00CF7925"/>
    <w:rsid w:val="00D048DE"/>
    <w:rsid w:val="00D048EF"/>
    <w:rsid w:val="00D0517A"/>
    <w:rsid w:val="00D051D0"/>
    <w:rsid w:val="00D07559"/>
    <w:rsid w:val="00D11418"/>
    <w:rsid w:val="00D11AAC"/>
    <w:rsid w:val="00D11E6D"/>
    <w:rsid w:val="00D11FDB"/>
    <w:rsid w:val="00D12AA0"/>
    <w:rsid w:val="00D1401F"/>
    <w:rsid w:val="00D1510C"/>
    <w:rsid w:val="00D1569F"/>
    <w:rsid w:val="00D15F0A"/>
    <w:rsid w:val="00D17087"/>
    <w:rsid w:val="00D17CC6"/>
    <w:rsid w:val="00D21E52"/>
    <w:rsid w:val="00D22075"/>
    <w:rsid w:val="00D24204"/>
    <w:rsid w:val="00D242B6"/>
    <w:rsid w:val="00D2453E"/>
    <w:rsid w:val="00D25D59"/>
    <w:rsid w:val="00D25DC3"/>
    <w:rsid w:val="00D277D8"/>
    <w:rsid w:val="00D30106"/>
    <w:rsid w:val="00D30718"/>
    <w:rsid w:val="00D311D6"/>
    <w:rsid w:val="00D3331F"/>
    <w:rsid w:val="00D33522"/>
    <w:rsid w:val="00D34638"/>
    <w:rsid w:val="00D34A5E"/>
    <w:rsid w:val="00D355BF"/>
    <w:rsid w:val="00D36E19"/>
    <w:rsid w:val="00D37D27"/>
    <w:rsid w:val="00D40260"/>
    <w:rsid w:val="00D40494"/>
    <w:rsid w:val="00D405F7"/>
    <w:rsid w:val="00D41131"/>
    <w:rsid w:val="00D41AC7"/>
    <w:rsid w:val="00D41E10"/>
    <w:rsid w:val="00D4273D"/>
    <w:rsid w:val="00D4457E"/>
    <w:rsid w:val="00D452C9"/>
    <w:rsid w:val="00D45474"/>
    <w:rsid w:val="00D45CDC"/>
    <w:rsid w:val="00D5107A"/>
    <w:rsid w:val="00D524DB"/>
    <w:rsid w:val="00D52836"/>
    <w:rsid w:val="00D536F3"/>
    <w:rsid w:val="00D53A51"/>
    <w:rsid w:val="00D54C11"/>
    <w:rsid w:val="00D55F7B"/>
    <w:rsid w:val="00D565A7"/>
    <w:rsid w:val="00D570C4"/>
    <w:rsid w:val="00D6109A"/>
    <w:rsid w:val="00D61F16"/>
    <w:rsid w:val="00D61F91"/>
    <w:rsid w:val="00D63009"/>
    <w:rsid w:val="00D6443F"/>
    <w:rsid w:val="00D646A3"/>
    <w:rsid w:val="00D64C0E"/>
    <w:rsid w:val="00D64EC0"/>
    <w:rsid w:val="00D65DCD"/>
    <w:rsid w:val="00D666B8"/>
    <w:rsid w:val="00D6693F"/>
    <w:rsid w:val="00D671B0"/>
    <w:rsid w:val="00D70F6C"/>
    <w:rsid w:val="00D72A82"/>
    <w:rsid w:val="00D77301"/>
    <w:rsid w:val="00D77438"/>
    <w:rsid w:val="00D774F1"/>
    <w:rsid w:val="00D77DC8"/>
    <w:rsid w:val="00D77E77"/>
    <w:rsid w:val="00D80BDD"/>
    <w:rsid w:val="00D810DC"/>
    <w:rsid w:val="00D81FC5"/>
    <w:rsid w:val="00D84C7D"/>
    <w:rsid w:val="00D86162"/>
    <w:rsid w:val="00D866EC"/>
    <w:rsid w:val="00D8713E"/>
    <w:rsid w:val="00D90CF1"/>
    <w:rsid w:val="00D91D1B"/>
    <w:rsid w:val="00D9283E"/>
    <w:rsid w:val="00D92E51"/>
    <w:rsid w:val="00D94DBF"/>
    <w:rsid w:val="00D95028"/>
    <w:rsid w:val="00D961D3"/>
    <w:rsid w:val="00DA01D3"/>
    <w:rsid w:val="00DA258E"/>
    <w:rsid w:val="00DA3CE2"/>
    <w:rsid w:val="00DA3E90"/>
    <w:rsid w:val="00DA578C"/>
    <w:rsid w:val="00DA5D62"/>
    <w:rsid w:val="00DA7697"/>
    <w:rsid w:val="00DB1357"/>
    <w:rsid w:val="00DB1AE2"/>
    <w:rsid w:val="00DB1EDC"/>
    <w:rsid w:val="00DB1F0D"/>
    <w:rsid w:val="00DB2B37"/>
    <w:rsid w:val="00DB37B6"/>
    <w:rsid w:val="00DB58FC"/>
    <w:rsid w:val="00DB7608"/>
    <w:rsid w:val="00DB761B"/>
    <w:rsid w:val="00DB78C9"/>
    <w:rsid w:val="00DC11B2"/>
    <w:rsid w:val="00DC1450"/>
    <w:rsid w:val="00DC270C"/>
    <w:rsid w:val="00DC36E1"/>
    <w:rsid w:val="00DC3D2A"/>
    <w:rsid w:val="00DC3E0B"/>
    <w:rsid w:val="00DC54C2"/>
    <w:rsid w:val="00DC5AE5"/>
    <w:rsid w:val="00DC626F"/>
    <w:rsid w:val="00DC6BF1"/>
    <w:rsid w:val="00DC7AAE"/>
    <w:rsid w:val="00DD03F5"/>
    <w:rsid w:val="00DD16DA"/>
    <w:rsid w:val="00DD1C99"/>
    <w:rsid w:val="00DD34D2"/>
    <w:rsid w:val="00DD3A61"/>
    <w:rsid w:val="00DD4B66"/>
    <w:rsid w:val="00DD50AE"/>
    <w:rsid w:val="00DD5E78"/>
    <w:rsid w:val="00DD7659"/>
    <w:rsid w:val="00DE0A01"/>
    <w:rsid w:val="00DE36D8"/>
    <w:rsid w:val="00DE647E"/>
    <w:rsid w:val="00DE692C"/>
    <w:rsid w:val="00DE6BA8"/>
    <w:rsid w:val="00DF09BC"/>
    <w:rsid w:val="00DF0A9E"/>
    <w:rsid w:val="00DF2BF5"/>
    <w:rsid w:val="00DF33FA"/>
    <w:rsid w:val="00DF3409"/>
    <w:rsid w:val="00DF3A07"/>
    <w:rsid w:val="00DF3B36"/>
    <w:rsid w:val="00DF4881"/>
    <w:rsid w:val="00DF6340"/>
    <w:rsid w:val="00DF65A1"/>
    <w:rsid w:val="00DF706F"/>
    <w:rsid w:val="00DF7630"/>
    <w:rsid w:val="00E0259D"/>
    <w:rsid w:val="00E034B1"/>
    <w:rsid w:val="00E03BBD"/>
    <w:rsid w:val="00E07C48"/>
    <w:rsid w:val="00E10F3F"/>
    <w:rsid w:val="00E11FC8"/>
    <w:rsid w:val="00E1270E"/>
    <w:rsid w:val="00E12F03"/>
    <w:rsid w:val="00E13C53"/>
    <w:rsid w:val="00E1445D"/>
    <w:rsid w:val="00E14BA8"/>
    <w:rsid w:val="00E15232"/>
    <w:rsid w:val="00E17ED6"/>
    <w:rsid w:val="00E2047E"/>
    <w:rsid w:val="00E220C0"/>
    <w:rsid w:val="00E22BCE"/>
    <w:rsid w:val="00E22BF4"/>
    <w:rsid w:val="00E26CAF"/>
    <w:rsid w:val="00E2731B"/>
    <w:rsid w:val="00E27519"/>
    <w:rsid w:val="00E30541"/>
    <w:rsid w:val="00E30EC8"/>
    <w:rsid w:val="00E3272C"/>
    <w:rsid w:val="00E32A02"/>
    <w:rsid w:val="00E358BA"/>
    <w:rsid w:val="00E368D1"/>
    <w:rsid w:val="00E36FCF"/>
    <w:rsid w:val="00E40342"/>
    <w:rsid w:val="00E41288"/>
    <w:rsid w:val="00E43D94"/>
    <w:rsid w:val="00E44F84"/>
    <w:rsid w:val="00E47135"/>
    <w:rsid w:val="00E4717C"/>
    <w:rsid w:val="00E47187"/>
    <w:rsid w:val="00E47372"/>
    <w:rsid w:val="00E50397"/>
    <w:rsid w:val="00E506FB"/>
    <w:rsid w:val="00E5211E"/>
    <w:rsid w:val="00E541D0"/>
    <w:rsid w:val="00E54A2E"/>
    <w:rsid w:val="00E550D4"/>
    <w:rsid w:val="00E55489"/>
    <w:rsid w:val="00E559EB"/>
    <w:rsid w:val="00E5799A"/>
    <w:rsid w:val="00E61914"/>
    <w:rsid w:val="00E6194A"/>
    <w:rsid w:val="00E62501"/>
    <w:rsid w:val="00E62CC7"/>
    <w:rsid w:val="00E636FF"/>
    <w:rsid w:val="00E656EB"/>
    <w:rsid w:val="00E6690F"/>
    <w:rsid w:val="00E66929"/>
    <w:rsid w:val="00E70191"/>
    <w:rsid w:val="00E7189C"/>
    <w:rsid w:val="00E720B8"/>
    <w:rsid w:val="00E74D8C"/>
    <w:rsid w:val="00E76A75"/>
    <w:rsid w:val="00E77800"/>
    <w:rsid w:val="00E77C51"/>
    <w:rsid w:val="00E80E4B"/>
    <w:rsid w:val="00E8174A"/>
    <w:rsid w:val="00E84256"/>
    <w:rsid w:val="00E86AB3"/>
    <w:rsid w:val="00E8701D"/>
    <w:rsid w:val="00E87048"/>
    <w:rsid w:val="00E91647"/>
    <w:rsid w:val="00E92F46"/>
    <w:rsid w:val="00E93094"/>
    <w:rsid w:val="00E950C3"/>
    <w:rsid w:val="00E96B0F"/>
    <w:rsid w:val="00E9747F"/>
    <w:rsid w:val="00EA16FE"/>
    <w:rsid w:val="00EA2B17"/>
    <w:rsid w:val="00EA3BAB"/>
    <w:rsid w:val="00EA3DFD"/>
    <w:rsid w:val="00EA51CA"/>
    <w:rsid w:val="00EA5A5C"/>
    <w:rsid w:val="00EA6BE7"/>
    <w:rsid w:val="00EB0579"/>
    <w:rsid w:val="00EB1673"/>
    <w:rsid w:val="00EB1DE3"/>
    <w:rsid w:val="00EB2090"/>
    <w:rsid w:val="00EB27ED"/>
    <w:rsid w:val="00EB2EA6"/>
    <w:rsid w:val="00EB30C6"/>
    <w:rsid w:val="00EB3D99"/>
    <w:rsid w:val="00EB3D9C"/>
    <w:rsid w:val="00EB492E"/>
    <w:rsid w:val="00EB5959"/>
    <w:rsid w:val="00EB5DA7"/>
    <w:rsid w:val="00EB5EC8"/>
    <w:rsid w:val="00EB7BB3"/>
    <w:rsid w:val="00EC05A8"/>
    <w:rsid w:val="00EC27BD"/>
    <w:rsid w:val="00EC2DA7"/>
    <w:rsid w:val="00EC3366"/>
    <w:rsid w:val="00EC35C0"/>
    <w:rsid w:val="00EC5102"/>
    <w:rsid w:val="00EC5F81"/>
    <w:rsid w:val="00EC7B8B"/>
    <w:rsid w:val="00ED11F3"/>
    <w:rsid w:val="00ED17BA"/>
    <w:rsid w:val="00ED208C"/>
    <w:rsid w:val="00ED26CB"/>
    <w:rsid w:val="00ED2906"/>
    <w:rsid w:val="00ED2BEC"/>
    <w:rsid w:val="00ED30E0"/>
    <w:rsid w:val="00ED390E"/>
    <w:rsid w:val="00ED3CFD"/>
    <w:rsid w:val="00ED6372"/>
    <w:rsid w:val="00ED7A63"/>
    <w:rsid w:val="00EE04F7"/>
    <w:rsid w:val="00EE215D"/>
    <w:rsid w:val="00EE385B"/>
    <w:rsid w:val="00EE46D5"/>
    <w:rsid w:val="00EE7266"/>
    <w:rsid w:val="00EF2D12"/>
    <w:rsid w:val="00EF3475"/>
    <w:rsid w:val="00EF463B"/>
    <w:rsid w:val="00EF4CDA"/>
    <w:rsid w:val="00EF4F96"/>
    <w:rsid w:val="00EF6320"/>
    <w:rsid w:val="00EF73C8"/>
    <w:rsid w:val="00F012D7"/>
    <w:rsid w:val="00F0205E"/>
    <w:rsid w:val="00F03A89"/>
    <w:rsid w:val="00F056A7"/>
    <w:rsid w:val="00F057AA"/>
    <w:rsid w:val="00F07556"/>
    <w:rsid w:val="00F10916"/>
    <w:rsid w:val="00F11BCF"/>
    <w:rsid w:val="00F12390"/>
    <w:rsid w:val="00F1273E"/>
    <w:rsid w:val="00F133E4"/>
    <w:rsid w:val="00F1414B"/>
    <w:rsid w:val="00F15CF4"/>
    <w:rsid w:val="00F21FEA"/>
    <w:rsid w:val="00F236A1"/>
    <w:rsid w:val="00F2524F"/>
    <w:rsid w:val="00F25E69"/>
    <w:rsid w:val="00F26A8A"/>
    <w:rsid w:val="00F278D6"/>
    <w:rsid w:val="00F30F9A"/>
    <w:rsid w:val="00F316F9"/>
    <w:rsid w:val="00F33B3F"/>
    <w:rsid w:val="00F367CB"/>
    <w:rsid w:val="00F40A2C"/>
    <w:rsid w:val="00F43175"/>
    <w:rsid w:val="00F43781"/>
    <w:rsid w:val="00F43BE4"/>
    <w:rsid w:val="00F43D59"/>
    <w:rsid w:val="00F4456E"/>
    <w:rsid w:val="00F452AD"/>
    <w:rsid w:val="00F4559C"/>
    <w:rsid w:val="00F45E62"/>
    <w:rsid w:val="00F4607B"/>
    <w:rsid w:val="00F460CB"/>
    <w:rsid w:val="00F4679C"/>
    <w:rsid w:val="00F46DFE"/>
    <w:rsid w:val="00F50096"/>
    <w:rsid w:val="00F501DF"/>
    <w:rsid w:val="00F51BDA"/>
    <w:rsid w:val="00F54A36"/>
    <w:rsid w:val="00F54DD9"/>
    <w:rsid w:val="00F55EE3"/>
    <w:rsid w:val="00F57CC0"/>
    <w:rsid w:val="00F60472"/>
    <w:rsid w:val="00F62F20"/>
    <w:rsid w:val="00F6540E"/>
    <w:rsid w:val="00F65C85"/>
    <w:rsid w:val="00F71CF8"/>
    <w:rsid w:val="00F72EA7"/>
    <w:rsid w:val="00F739EA"/>
    <w:rsid w:val="00F74642"/>
    <w:rsid w:val="00F752DD"/>
    <w:rsid w:val="00F764C0"/>
    <w:rsid w:val="00F77003"/>
    <w:rsid w:val="00F77C76"/>
    <w:rsid w:val="00F80EB0"/>
    <w:rsid w:val="00F8126A"/>
    <w:rsid w:val="00F8305D"/>
    <w:rsid w:val="00F838A8"/>
    <w:rsid w:val="00F85163"/>
    <w:rsid w:val="00F86259"/>
    <w:rsid w:val="00F86D87"/>
    <w:rsid w:val="00F876C0"/>
    <w:rsid w:val="00F91D7D"/>
    <w:rsid w:val="00F92DC2"/>
    <w:rsid w:val="00F92E6F"/>
    <w:rsid w:val="00F943FA"/>
    <w:rsid w:val="00F94565"/>
    <w:rsid w:val="00F9596F"/>
    <w:rsid w:val="00F962A8"/>
    <w:rsid w:val="00F97713"/>
    <w:rsid w:val="00F97BD1"/>
    <w:rsid w:val="00FA05C0"/>
    <w:rsid w:val="00FA0E3B"/>
    <w:rsid w:val="00FA2BDA"/>
    <w:rsid w:val="00FA3359"/>
    <w:rsid w:val="00FA33A0"/>
    <w:rsid w:val="00FA3787"/>
    <w:rsid w:val="00FA5080"/>
    <w:rsid w:val="00FA73C9"/>
    <w:rsid w:val="00FA7523"/>
    <w:rsid w:val="00FA7CAC"/>
    <w:rsid w:val="00FA7EA7"/>
    <w:rsid w:val="00FA7F31"/>
    <w:rsid w:val="00FB1380"/>
    <w:rsid w:val="00FB20B4"/>
    <w:rsid w:val="00FB228D"/>
    <w:rsid w:val="00FB26C1"/>
    <w:rsid w:val="00FB3AE0"/>
    <w:rsid w:val="00FB5F76"/>
    <w:rsid w:val="00FB67B4"/>
    <w:rsid w:val="00FB71B4"/>
    <w:rsid w:val="00FB7673"/>
    <w:rsid w:val="00FC077A"/>
    <w:rsid w:val="00FC1A49"/>
    <w:rsid w:val="00FC2BBD"/>
    <w:rsid w:val="00FC46D0"/>
    <w:rsid w:val="00FC4CAA"/>
    <w:rsid w:val="00FD03E5"/>
    <w:rsid w:val="00FD1B5D"/>
    <w:rsid w:val="00FD1DF4"/>
    <w:rsid w:val="00FD2EA9"/>
    <w:rsid w:val="00FD3E7D"/>
    <w:rsid w:val="00FD44BE"/>
    <w:rsid w:val="00FD7084"/>
    <w:rsid w:val="00FE0926"/>
    <w:rsid w:val="00FE0CDB"/>
    <w:rsid w:val="00FE1066"/>
    <w:rsid w:val="00FE1735"/>
    <w:rsid w:val="00FE25B7"/>
    <w:rsid w:val="00FE2B92"/>
    <w:rsid w:val="00FE30E7"/>
    <w:rsid w:val="00FE5D13"/>
    <w:rsid w:val="00FE71AE"/>
    <w:rsid w:val="00FF00E1"/>
    <w:rsid w:val="00FF0B6A"/>
    <w:rsid w:val="00FF1187"/>
    <w:rsid w:val="00FF1A4C"/>
    <w:rsid w:val="00FF1AC4"/>
    <w:rsid w:val="00FF1C8F"/>
    <w:rsid w:val="00F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CA8F7A"/>
  <w15:docId w15:val="{B1D3A1AC-9533-47E1-A98A-765CC4FD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51F"/>
    <w:rPr>
      <w:rFonts w:ascii="CRO_Century_Schoolbk-Normal" w:hAnsi="CRO_Century_Schoolbk-Normal"/>
      <w:sz w:val="24"/>
    </w:rPr>
  </w:style>
  <w:style w:type="paragraph" w:styleId="Heading1">
    <w:name w:val="heading 1"/>
    <w:basedOn w:val="Normal"/>
    <w:next w:val="Normal"/>
    <w:qFormat/>
    <w:rsid w:val="003502EC"/>
    <w:pPr>
      <w:keepNext/>
      <w:framePr w:w="5618" w:h="942" w:hSpace="180" w:wrap="around" w:vAnchor="text" w:hAnchor="page" w:x="1721" w:y="319"/>
      <w:jc w:val="center"/>
      <w:outlineLvl w:val="0"/>
    </w:pPr>
    <w:rPr>
      <w:rFonts w:ascii="Times New Roman" w:hAnsi="Times New Roman"/>
      <w:b/>
      <w:bCs/>
      <w:noProof/>
      <w:lang w:val="de-DE"/>
    </w:rPr>
  </w:style>
  <w:style w:type="paragraph" w:styleId="Heading2">
    <w:name w:val="heading 2"/>
    <w:basedOn w:val="Normal"/>
    <w:next w:val="Normal"/>
    <w:qFormat/>
    <w:rsid w:val="003502EC"/>
    <w:pPr>
      <w:keepNext/>
      <w:tabs>
        <w:tab w:val="center" w:pos="6663"/>
      </w:tabs>
      <w:jc w:val="both"/>
      <w:outlineLvl w:val="1"/>
    </w:pPr>
    <w:rPr>
      <w:rFonts w:ascii="Times New Roman" w:hAnsi="Times New Roman"/>
      <w:b/>
      <w:bCs/>
      <w:noProof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6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502E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3502EC"/>
  </w:style>
  <w:style w:type="paragraph" w:styleId="BodyText">
    <w:name w:val="Body Text"/>
    <w:basedOn w:val="Normal"/>
    <w:semiHidden/>
    <w:rsid w:val="003502EC"/>
    <w:pPr>
      <w:tabs>
        <w:tab w:val="left" w:pos="1134"/>
      </w:tabs>
      <w:jc w:val="both"/>
    </w:pPr>
    <w:rPr>
      <w:noProof/>
      <w:position w:val="-36"/>
    </w:rPr>
  </w:style>
  <w:style w:type="paragraph" w:styleId="ListParagraph">
    <w:name w:val="List Paragraph"/>
    <w:basedOn w:val="Normal"/>
    <w:uiPriority w:val="34"/>
    <w:qFormat/>
    <w:rsid w:val="004E4E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5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655"/>
    <w:rPr>
      <w:rFonts w:ascii="Tahoma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F77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CC"/>
    <w:rPr>
      <w:rFonts w:ascii="CRO_Century_Schoolbk-Normal" w:hAnsi="CRO_Century_Schoolbk-Normal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8F77CC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rsid w:val="006E33DB"/>
    <w:rPr>
      <w:rFonts w:ascii="CRO_Century_Schoolbk-Normal" w:hAnsi="CRO_Century_Schoolbk-Normal"/>
      <w:sz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6E07"/>
    <w:rPr>
      <w:rFonts w:asciiTheme="majorHAnsi" w:eastAsiaTheme="majorEastAsia" w:hAnsiTheme="majorHAnsi" w:cstheme="majorBidi"/>
      <w:b/>
      <w:bCs/>
      <w:color w:val="4F81BD" w:themeColor="accent1"/>
      <w:sz w:val="24"/>
      <w:lang w:val="en-GB"/>
    </w:rPr>
  </w:style>
  <w:style w:type="table" w:styleId="TableGrid">
    <w:name w:val="Table Grid"/>
    <w:basedOn w:val="TableNormal"/>
    <w:rsid w:val="00B73B1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uiPriority w:val="59"/>
    <w:rsid w:val="00B73B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uiPriority w:val="59"/>
    <w:rsid w:val="00B73B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TableNormal"/>
    <w:next w:val="TableGrid"/>
    <w:uiPriority w:val="59"/>
    <w:rsid w:val="00B73B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TableNormal"/>
    <w:uiPriority w:val="59"/>
    <w:rsid w:val="00B73B12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">
    <w:name w:val="Rešetka tablice4"/>
    <w:basedOn w:val="TableNormal"/>
    <w:next w:val="TableGrid"/>
    <w:uiPriority w:val="59"/>
    <w:rsid w:val="00B73B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TableNormal"/>
    <w:uiPriority w:val="59"/>
    <w:rsid w:val="00B73B1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99"/>
    <w:qFormat/>
    <w:rsid w:val="00B73B12"/>
    <w:pPr>
      <w:tabs>
        <w:tab w:val="center" w:pos="2520"/>
      </w:tabs>
    </w:pPr>
    <w:rPr>
      <w:rFonts w:ascii="Times New Roman" w:hAnsi="Times New Roman"/>
      <w:b/>
      <w:bCs/>
      <w:szCs w:val="24"/>
    </w:rPr>
  </w:style>
  <w:style w:type="table" w:customStyle="1" w:styleId="TableNormal1">
    <w:name w:val="Table Normal1"/>
    <w:uiPriority w:val="2"/>
    <w:semiHidden/>
    <w:unhideWhenUsed/>
    <w:qFormat/>
    <w:rsid w:val="00B73B1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73B1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B73B1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://www.bbz.hr" TargetMode="External"/><Relationship Id="rId1" Type="http://schemas.openxmlformats.org/officeDocument/2006/relationships/hyperlink" Target="http://www.bbz.hr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bz.hr" TargetMode="External"/><Relationship Id="rId2" Type="http://schemas.openxmlformats.org/officeDocument/2006/relationships/hyperlink" Target="http://www.bbz.hr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DBDAA-31CC-4466-BF5B-BD334D16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15</Pages>
  <Words>5536</Words>
  <Characters>31561</Characters>
  <Application>Microsoft Office Word</Application>
  <DocSecurity>0</DocSecurity>
  <Lines>263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Željka</dc:creator>
  <cp:lastModifiedBy>Sanja Feher</cp:lastModifiedBy>
  <cp:revision>130</cp:revision>
  <cp:lastPrinted>2025-08-29T06:40:00Z</cp:lastPrinted>
  <dcterms:created xsi:type="dcterms:W3CDTF">2025-08-22T09:53:00Z</dcterms:created>
  <dcterms:modified xsi:type="dcterms:W3CDTF">2025-09-01T11:44:00Z</dcterms:modified>
</cp:coreProperties>
</file>